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</w:pPr>
            <w:r>
              <w:t xml:space="preserve">title: Cyprus Partner Pre-Engagement Verification — 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status: FINAL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language: english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controlling: true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prepared_by: Interlegal Senior + PM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finalised_by: Interlegal Engagement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gate_required: []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audience: Interlegal staff (Engagement Partner, Senior, PM, BD) running partner onboarding; transparent to Cyprus partner staff post-DPA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created: 2026-05-17</w:t>
            </w:r>
          </w:p>
        </w:tc>
      </w:tr>
      <w:tr>
        <w:tc>
          <w:tcPr/>
          <w:p>
            <w:pPr>
              <w:pStyle w:val="Compact"/>
            </w:pPr>
            <w:r>
              <w:t xml:space="preserve">office365_path:</w:t>
            </w:r>
            <w:r>
              <w:t xml:space="preserve"> </w:t>
            </w:r>
            <w:r>
              <w:t xml:space="preserve">“/Interlegal — Cyprus IP Box/Process/partner-verification.md”</w:t>
            </w:r>
          </w:p>
        </w:tc>
      </w:tr>
    </w:tbl>
    <w:bookmarkStart w:id="18" w:name="X3de9079f97a8f07636cf69a93b937fe78407ef6"/>
    <w:p>
      <w:pPr>
        <w:pStyle w:val="Heading1"/>
      </w:pPr>
      <w:r>
        <w:t xml:space="preserve">Cyprus Partner Pre-Engagement Verification — Methodology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define one canonical process for verifying any candidate Cyprus delivery partner before signing a Statement of Work. The methodology is</w:t>
      </w:r>
      <w:r>
        <w:t xml:space="preserve"> </w:t>
      </w:r>
      <w:r>
        <w:rPr>
          <w:b/>
          <w:bCs/>
        </w:rPr>
        <w:t xml:space="preserve">partner-agnostic</w:t>
      </w:r>
      <w:r>
        <w:t xml:space="preserve"> </w:t>
      </w:r>
      <w:r>
        <w:t xml:space="preserve">— the same 11-item checklist + 4 ownership questions + reference protocol apply to the engaged partner and to any backup partner. Partner-specific state (Oxford, backup, future replacements) lives in</w:t>
      </w:r>
      <w:r>
        <w:t xml:space="preserve"> </w:t>
      </w:r>
      <w:r>
        <w:rPr>
          <w:rStyle w:val="VerbatimChar"/>
        </w:rPr>
        <w:t xml:space="preserve">/api/partners</w:t>
      </w:r>
      <w:r>
        <w:t xml:space="preserve"> </w:t>
      </w:r>
      <w:r>
        <w:t xml:space="preserve">and renders on the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“Cyprus Partner Verification”</w:t>
      </w:r>
      <w:r>
        <w:t xml:space="preserve"> </w:t>
      </w:r>
      <w:r>
        <w:t xml:space="preserve">panel.</w:t>
      </w:r>
    </w:p>
    <w:p>
      <w:pPr>
        <w:pStyle w:val="BodyText"/>
      </w:pPr>
      <w:r>
        <w:rPr>
          <w:b/>
          <w:bCs/>
        </w:rPr>
        <w:t xml:space="preserve">Scope:</w:t>
      </w:r>
      <w:r>
        <w:t xml:space="preserve"> </w:t>
      </w:r>
      <w:r>
        <w:t xml:space="preserve">every Cyprus partner candidate from first contact through SOW signing (or rejection + backup activation). Out of scope: post-SOW partner management (covered by [[process/joint-cadence]] and the SOW itself).</w:t>
      </w:r>
    </w:p>
    <w:p>
      <w:r>
        <w:pict>
          <v:rect style="width:0;height:1.5pt" o:hralign="center" o:hrstd="t" o:hr="t"/>
        </w:pict>
      </w:r>
    </w:p>
    <w:bookmarkStart w:id="9" w:name="when-to-open-a-verification"/>
    <w:p>
      <w:pPr>
        <w:pStyle w:val="Heading2"/>
      </w:pPr>
      <w:r>
        <w:t xml:space="preserve">When to open a verification</w:t>
      </w:r>
    </w:p>
    <w:p>
      <w:pPr>
        <w:pStyle w:val="FirstParagraph"/>
      </w:pPr>
      <w:r>
        <w:t xml:space="preserve">Verification is opened in</w:t>
      </w:r>
      <w:r>
        <w:t xml:space="preserve"> </w:t>
      </w:r>
      <w:r>
        <w:rPr>
          <w:b/>
          <w:bCs/>
        </w:rPr>
        <w:t xml:space="preserve">one</w:t>
      </w:r>
      <w:r>
        <w:t xml:space="preserve"> </w:t>
      </w:r>
      <w:r>
        <w:t xml:space="preserve">of three trigger conditions: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ADR-006 §</w:t>
      </w:r>
      <w:r>
        <w:rPr>
          <w:b/>
          <w:bCs/>
        </w:rPr>
        <w:t xml:space="preserve">“Engaged partner”</w:t>
      </w:r>
      <w:r>
        <w:rPr>
          <w:b/>
          <w:bCs/>
        </w:rPr>
        <w:t xml:space="preserve"> </w:t>
      </w:r>
      <w:r>
        <w:rPr>
          <w:b/>
          <w:bCs/>
        </w:rPr>
        <w:t xml:space="preserve">update</w:t>
      </w:r>
      <w:r>
        <w:t xml:space="preserve"> </w:t>
      </w:r>
      <w:r>
        <w:t xml:space="preserve">— Interlegal identifies a candidate partner; the ADR is amended to name them as the engaged partner; a verification is opened the same day.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Backup-partner warm-up</w:t>
      </w:r>
      <w:r>
        <w:t xml:space="preserve"> </w:t>
      </w:r>
      <w:r>
        <w:t xml:space="preserve">— Interlegal identifies a second ICPAC firm under ADR-006 §</w:t>
      </w:r>
      <w:r>
        <w:t xml:space="preserve">“Risk: partner becomes single point of failure”</w:t>
      </w:r>
      <w:r>
        <w:t xml:space="preserve">; warm-up verification runs in parallel to live engagement (NDA + DPA only, no commercial engagement until activated).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Quarterly partner review failure</w:t>
      </w:r>
      <w:r>
        <w:t xml:space="preserve"> </w:t>
      </w:r>
      <w:r>
        <w:t xml:space="preserve">— existing partner fails quarterly review thresholds (SLA hit rate, G5 turnaround, client-satisfaction) and Interlegal opens an off-boarding verification for the replacement.</w:t>
      </w:r>
    </w:p>
    <w:p>
      <w:pPr>
        <w:pStyle w:val="FirstParagraph"/>
      </w:pPr>
      <w:r>
        <w:t xml:space="preserve">In every case, the candidate is added to</w:t>
      </w:r>
      <w:r>
        <w:t xml:space="preserve"> </w:t>
      </w:r>
      <w:r>
        <w:rPr>
          <w:rStyle w:val="VerbatimChar"/>
        </w:rPr>
        <w:t xml:space="preserve">/api/partners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state: VERIFICATION_OPEN</w:t>
      </w:r>
      <w:r>
        <w:t xml:space="preserve"> </w:t>
      </w:r>
      <w:r>
        <w:t xml:space="preserve">and the 11-item checklist initialised to</w:t>
      </w:r>
      <w:r>
        <w:t xml:space="preserve"> </w:t>
      </w:r>
      <w:r>
        <w:rPr>
          <w:rStyle w:val="VerbatimChar"/>
        </w:rPr>
        <w:t xml:space="preserve">UNVERIFIED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"/>
    <w:bookmarkStart w:id="10" w:name="the-11-verification-items"/>
    <w:p>
      <w:pPr>
        <w:pStyle w:val="Heading2"/>
      </w:pPr>
      <w:r>
        <w:t xml:space="preserve">The 11 verification items</w:t>
      </w:r>
    </w:p>
    <w:p>
      <w:pPr>
        <w:pStyle w:val="FirstParagraph"/>
      </w:pPr>
      <w:r>
        <w:t xml:space="preserve">The full enumerated list lives in [[ADR-006]] §</w:t>
      </w:r>
      <w:r>
        <w:t xml:space="preserve">“Cyprus partner selection criteria”</w:t>
      </w:r>
      <w:r>
        <w:t xml:space="preserve">. This methodology page describes how each item is verified — what evidence Interlegal accepts and what is grounds for</w:t>
      </w:r>
      <w:r>
        <w:t xml:space="preserve"> </w:t>
      </w:r>
      <w:r>
        <w:rPr>
          <w:rStyle w:val="VerbatimChar"/>
        </w:rPr>
        <w:t xml:space="preserve">FAILED</w:t>
      </w:r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Acceptable evidence</w:t>
            </w:r>
          </w:p>
        </w:tc>
        <w:tc>
          <w:tcPr/>
          <w:p>
            <w:pPr>
              <w:pStyle w:val="Compact"/>
            </w:pPr>
            <w:r>
              <w:t xml:space="preserve">Grounds for FAILED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ICPAC licensing</w:t>
            </w:r>
          </w:p>
        </w:tc>
        <w:tc>
          <w:tcPr/>
          <w:p>
            <w:pPr>
              <w:pStyle w:val="Compact"/>
            </w:pPr>
            <w:r>
              <w:t xml:space="preserve">ICPAC member number cross-checked at</w:t>
            </w:r>
            <w:r>
              <w:t xml:space="preserve"> </w:t>
            </w:r>
            <w:r>
              <w:rPr>
                <w:rStyle w:val="VerbatimChar"/>
              </w:rPr>
              <w:t xml:space="preserve">icpac.org.cy</w:t>
            </w:r>
            <w:r>
              <w:t xml:space="preserve">; if via affiliate — affiliate firm’s ICPAC ID + signed referral framework</w:t>
            </w:r>
          </w:p>
        </w:tc>
        <w:tc>
          <w:tcPr/>
          <w:p>
            <w:pPr>
              <w:pStyle w:val="Compact"/>
            </w:pPr>
            <w:r>
              <w:t xml:space="preserve">No ICPAC route confirmed; or affiliate firm not in good standing per ICPAC register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Bar member route</w:t>
            </w:r>
          </w:p>
        </w:tc>
        <w:tc>
          <w:tcPr/>
          <w:p>
            <w:pPr>
              <w:pStyle w:val="Compact"/>
            </w:pPr>
            <w:r>
              <w:t xml:space="preserve">Cyprus Bar Association admission record; if via affiliate — affiliate firm name + Bar member named for our matters</w:t>
            </w:r>
          </w:p>
        </w:tc>
        <w:tc>
          <w:tcPr/>
          <w:p>
            <w:pPr>
              <w:pStyle w:val="Compact"/>
            </w:pPr>
            <w:r>
              <w:t xml:space="preserve">No Bar route; affiliate firm not actually engaged on framework terms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IP Box specialism</w:t>
            </w:r>
          </w:p>
        </w:tc>
        <w:tc>
          <w:tcPr/>
          <w:p>
            <w:pPr>
              <w:pStyle w:val="Compact"/>
            </w:pPr>
            <w:r>
              <w:t xml:space="preserve">≥3 closed matters last 5y (case studies acceptable redacted) OR ≥1 published IP Box alert/thought-leadership piece authored by the firm</w:t>
            </w:r>
          </w:p>
        </w:tc>
        <w:tc>
          <w:tcPr/>
          <w:p>
            <w:pPr>
              <w:pStyle w:val="Compact"/>
            </w:pPr>
            <w:r>
              <w:t xml:space="preserve">No IP Box work history; generic</w:t>
            </w:r>
            <w:r>
              <w:t xml:space="preserve"> </w:t>
            </w:r>
            <w:r>
              <w:t xml:space="preserve">“international tax planning”</w:t>
            </w:r>
            <w:r>
              <w:t xml:space="preserve"> </w:t>
            </w:r>
            <w:r>
              <w:t xml:space="preserve">framing only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Tax ruling experience</w:t>
            </w:r>
          </w:p>
        </w:tc>
        <w:tc>
          <w:tcPr/>
          <w:p>
            <w:pPr>
              <w:pStyle w:val="Compact"/>
            </w:pPr>
            <w:r>
              <w:t xml:space="preserve">≥2 successful advance rulings filed last 3y with outcome breakdown</w:t>
            </w:r>
          </w:p>
        </w:tc>
        <w:tc>
          <w:tcPr/>
          <w:p>
            <w:pPr>
              <w:pStyle w:val="Compact"/>
            </w:pPr>
            <w:r>
              <w:t xml:space="preserve">No ruling history or ≥50% adverse outcomes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Real Cyprus office</w:t>
            </w:r>
          </w:p>
        </w:tc>
        <w:tc>
          <w:tcPr/>
          <w:p>
            <w:pPr>
              <w:pStyle w:val="Compact"/>
            </w:pPr>
            <w:r>
              <w:t xml:space="preserve">Physical address; on-site visit at SOW signing</w:t>
            </w:r>
          </w:p>
        </w:tc>
        <w:tc>
          <w:tcPr/>
          <w:p>
            <w:pPr>
              <w:pStyle w:val="Compact"/>
            </w:pPr>
            <w:r>
              <w:t xml:space="preserve">Virtual office only; no physical presence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English working language</w:t>
            </w:r>
          </w:p>
        </w:tc>
        <w:tc>
          <w:tcPr/>
          <w:p>
            <w:pPr>
              <w:pStyle w:val="Compact"/>
            </w:pPr>
            <w:r>
              <w:t xml:space="preserve">Confirmation + bilingual UA/RU named staff if applicable</w:t>
            </w:r>
          </w:p>
        </w:tc>
        <w:tc>
          <w:tcPr/>
          <w:p>
            <w:pPr>
              <w:pStyle w:val="Compact"/>
            </w:pPr>
            <w:r>
              <w:t xml:space="preserve">English unsuitable for technical correspondence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GDPR + DPA willingness</w:t>
            </w:r>
          </w:p>
        </w:tc>
        <w:tc>
          <w:tcPr/>
          <w:p>
            <w:pPr>
              <w:pStyle w:val="Compact"/>
            </w:pPr>
            <w:r>
              <w:t xml:space="preserve">Signed Interlegal DPA OR template negotiation completed within 30 days</w:t>
            </w:r>
          </w:p>
        </w:tc>
        <w:tc>
          <w:tcPr/>
          <w:p>
            <w:pPr>
              <w:pStyle w:val="Compact"/>
            </w:pPr>
            <w:r>
              <w:t xml:space="preserve">Refusal to sign any DPA; insistence on terms below GDPR controller-processor 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Boutique size + Big-4 independence</w:t>
            </w:r>
          </w:p>
        </w:tc>
        <w:tc>
          <w:tcPr/>
          <w:p>
            <w:pPr>
              <w:pStyle w:val="Compact"/>
            </w:pPr>
            <w:r>
              <w:t xml:space="preserve">Total headcount (target 5-25); Big-4 disclosure complete</w:t>
            </w:r>
          </w:p>
        </w:tc>
        <w:tc>
          <w:tcPr/>
          <w:p>
            <w:pPr>
              <w:pStyle w:val="Compact"/>
            </w:pPr>
            <w:r>
              <w:t xml:space="preserve">Big-4 affiliation undisclosed; or headcount outside boutique sweet spot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Secure file exchange</w:t>
            </w:r>
          </w:p>
        </w:tc>
        <w:tc>
          <w:tcPr/>
          <w:p>
            <w:pPr>
              <w:pStyle w:val="Compact"/>
            </w:pPr>
            <w:r>
              <w:t xml:space="preserve">SFTP / Tresorit / ShareFile / managed-PGP confirmed; portal access acceptable</w:t>
            </w:r>
          </w:p>
        </w:tc>
        <w:tc>
          <w:tcPr/>
          <w:p>
            <w:pPr>
              <w:pStyle w:val="Compact"/>
            </w:pPr>
            <w:r>
              <w:t xml:space="preserve">Email-attached PDF as default = automatic disqualifier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References (≥2 satisfied)</w:t>
            </w:r>
          </w:p>
        </w:tc>
        <w:tc>
          <w:tcPr/>
          <w:p>
            <w:pPr>
              <w:pStyle w:val="Compact"/>
            </w:pPr>
            <w:r>
              <w:t xml:space="preserve">Two 30-min calls held; ≥2 POSITIVE outcomes</w:t>
            </w:r>
          </w:p>
        </w:tc>
        <w:tc>
          <w:tcPr/>
          <w:p>
            <w:pPr>
              <w:pStyle w:val="Compact"/>
            </w:pPr>
            <w:r>
              <w:t xml:space="preserve">&lt;2 reachable references; ≥1 NEGATIVE outcome; pattern of rubber-stamping in references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G5 professional ownership</w:t>
            </w:r>
          </w:p>
        </w:tc>
        <w:tc>
          <w:tcPr/>
          <w:p>
            <w:pPr>
              <w:pStyle w:val="Compact"/>
            </w:pPr>
            <w:r>
              <w:t xml:space="preserve">Four ownership questions answered in writing + discussed live on intro call; constellation declared</w:t>
            </w:r>
          </w:p>
        </w:tc>
        <w:tc>
          <w:tcPr/>
          <w:p>
            <w:pPr>
              <w:pStyle w:val="Compact"/>
            </w:pPr>
            <w:r>
              <w:t xml:space="preserve">Defensive answers signalling rubber-stamping; refusal to take G5 ownership; inability to declare constellation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Item 11 supplementary — Constellation declaration:</w:t>
      </w:r>
      <w:r>
        <w:t xml:space="preserve"> </w:t>
      </w:r>
      <w:r>
        <w:t xml:space="preserve">every candidate must declare either Constellation A (single-firm, owns all 3 Cyprus-side sign-offs) or Constellation B (split-firm, coordination + affiliate G5a Bar + affiliate G5b ICPAC). The constellation drives SOW §3 scope variant (per [[09-cyprus-partner-sow]] template).</w:t>
      </w:r>
    </w:p>
    <w:p>
      <w:r>
        <w:pict>
          <v:rect style="width:0;height:1.5pt" o:hralign="center" o:hrstd="t" o:hr="t"/>
        </w:pict>
      </w:r>
    </w:p>
    <w:bookmarkEnd w:id="10"/>
    <w:bookmarkStart w:id="11" w:name="status-transitions-state-machine"/>
    <w:p>
      <w:pPr>
        <w:pStyle w:val="Heading2"/>
      </w:pPr>
      <w:r>
        <w:t xml:space="preserve">Status transitions (state machine)</w:t>
      </w:r>
    </w:p>
    <w:p>
      <w:pPr>
        <w:pStyle w:val="FirstParagraph"/>
      </w:pPr>
      <w:r>
        <w:t xml:space="preserve">Each item carries one of six states: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  <w:tc>
          <w:tcPr/>
          <w:p>
            <w:pPr>
              <w:pStyle w:val="Compact"/>
            </w:pPr>
            <w:r>
              <w:t xml:space="preserve">Transition rules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UNVERIFIED</w:t>
            </w:r>
          </w:p>
        </w:tc>
        <w:tc>
          <w:tcPr/>
          <w:p>
            <w:pPr>
              <w:pStyle w:val="Compact"/>
            </w:pPr>
            <w:r>
              <w:t xml:space="preserve">Item raised; no response yet. Default starting state.</w:t>
            </w:r>
          </w:p>
        </w:tc>
        <w:tc>
          <w:tcPr/>
          <w:p>
            <w:pPr>
              <w:pStyle w:val="Compact"/>
            </w:pP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IN PROGRESS</w:t>
            </w:r>
            <w:r>
              <w:t xml:space="preserve"> </w:t>
            </w:r>
            <w:r>
              <w:t xml:space="preserve">on first response receipt; →</w:t>
            </w:r>
            <w:r>
              <w:t xml:space="preserve"> </w:t>
            </w:r>
            <w:r>
              <w:rPr>
                <w:rStyle w:val="VerbatimChar"/>
              </w:rPr>
              <w:t xml:space="preserve">FAILED</w:t>
            </w:r>
            <w:r>
              <w:t xml:space="preserve"> </w:t>
            </w:r>
            <w:r>
              <w:t xml:space="preserve">on 10wd-without-response timeout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 PROGRESS</w:t>
            </w:r>
          </w:p>
        </w:tc>
        <w:tc>
          <w:tcPr/>
          <w:p>
            <w:pPr>
              <w:pStyle w:val="Compact"/>
            </w:pPr>
            <w:r>
              <w:t xml:space="preserve">Response partial, awaiting evidence, or scheduled call covers this item.</w:t>
            </w:r>
          </w:p>
        </w:tc>
        <w:tc>
          <w:tcPr/>
          <w:p>
            <w:pPr>
              <w:pStyle w:val="Compact"/>
            </w:pP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VERIFIED</w:t>
            </w:r>
            <w:r>
              <w:t xml:space="preserve"> </w:t>
            </w:r>
            <w:r>
              <w:t xml:space="preserve">on evidence acceptance; →</w:t>
            </w:r>
            <w:r>
              <w:t xml:space="preserve"> </w:t>
            </w:r>
            <w:r>
              <w:rPr>
                <w:rStyle w:val="VerbatimChar"/>
              </w:rPr>
              <w:t xml:space="preserve">FAILED</w:t>
            </w:r>
            <w:r>
              <w:t xml:space="preserve"> </w:t>
            </w:r>
            <w:r>
              <w:t xml:space="preserve">on insufficient evidence + escalation; →</w:t>
            </w:r>
            <w:r>
              <w:t xml:space="preserve"> </w:t>
            </w:r>
            <w:r>
              <w:rPr>
                <w:rStyle w:val="VerbatimChar"/>
              </w:rPr>
              <w:t xml:space="preserve">UNVERIFIED</w:t>
            </w:r>
            <w:r>
              <w:t xml:space="preserve"> </w:t>
            </w:r>
            <w:r>
              <w:t xml:space="preserve">(rare) on candidate request for re-clarification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VERIFIED</w:t>
            </w:r>
          </w:p>
        </w:tc>
        <w:tc>
          <w:tcPr/>
          <w:p>
            <w:pPr>
              <w:pStyle w:val="Compact"/>
            </w:pPr>
            <w:r>
              <w:t xml:space="preserve">Written confirmation + supporting evidence received and accepted by Interlegal Engagement Partner.</w:t>
            </w:r>
          </w:p>
        </w:tc>
        <w:tc>
          <w:tcPr/>
          <w:p>
            <w:pPr>
              <w:pStyle w:val="Compact"/>
            </w:pPr>
            <w:r>
              <w:t xml:space="preserve">Terminal positive state. Re-opens only on quarterly review escalation.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FAILED</w:t>
            </w:r>
          </w:p>
        </w:tc>
        <w:tc>
          <w:tcPr/>
          <w:p>
            <w:pPr>
              <w:pStyle w:val="Compact"/>
            </w:pPr>
            <w:r>
              <w:t xml:space="preserve">Response received but does not meet Interlegal’s criterion.</w:t>
            </w:r>
          </w:p>
        </w:tc>
        <w:tc>
          <w:tcPr/>
          <w:p>
            <w:pPr>
              <w:pStyle w:val="Compact"/>
            </w:pP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EXCEPTION</w:t>
            </w:r>
            <w:r>
              <w:t xml:space="preserve"> </w:t>
            </w:r>
            <w:r>
              <w:t xml:space="preserve">if Engagement Partner signs documented override; →</w:t>
            </w:r>
            <w:r>
              <w:t xml:space="preserve"> </w:t>
            </w:r>
            <w:r>
              <w:rPr>
                <w:rStyle w:val="VerbatimChar"/>
              </w:rPr>
              <w:t xml:space="preserve">VERIFIED</w:t>
            </w:r>
            <w:r>
              <w:t xml:space="preserve"> </w:t>
            </w:r>
            <w:r>
              <w:t xml:space="preserve">if candidate re-submits acceptable evidence; otherwise terminal negative — triggers halt of verification.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EXCEPTION</w:t>
            </w:r>
          </w:p>
        </w:tc>
        <w:tc>
          <w:tcPr/>
          <w:p>
            <w:pPr>
              <w:pStyle w:val="Compact"/>
            </w:pPr>
            <w:r>
              <w:t xml:space="preserve">Item not met but Engagement Partner has documented an acceptance with rationale.</w:t>
            </w:r>
          </w:p>
        </w:tc>
        <w:tc>
          <w:tcPr/>
          <w:p>
            <w:pPr>
              <w:pStyle w:val="Compact"/>
            </w:pPr>
            <w:r>
              <w:t xml:space="preserve">Terminal — but flagged in quarterly review for re-test.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Item determined inapplicable under the declared engagement constellation (e.g. Item 1 ICPAC direct-licensing N/A if Constellation B and affiliate ICPAC firm carries the licence).</w:t>
            </w:r>
          </w:p>
        </w:tc>
        <w:tc>
          <w:tcPr/>
          <w:p>
            <w:pPr>
              <w:pStyle w:val="Compact"/>
            </w:pPr>
            <w:r>
              <w:t xml:space="preserve">Terminal — affiliate firm carries the item in own SOW.</w:t>
            </w:r>
          </w:p>
        </w:tc>
      </w:tr>
    </w:tbl>
    <w:p>
      <w:pPr>
        <w:pStyle w:val="BodyText"/>
      </w:pPr>
      <w:r>
        <w:rPr>
          <w:b/>
          <w:bCs/>
        </w:rPr>
        <w:t xml:space="preserve">Default escalation rule:</w:t>
      </w:r>
      <w:r>
        <w:t xml:space="preserve"> </w:t>
      </w:r>
      <w:r>
        <w:t xml:space="preserve">any item still</w:t>
      </w:r>
      <w:r>
        <w:t xml:space="preserve"> </w:t>
      </w:r>
      <w:r>
        <w:rPr>
          <w:rStyle w:val="VerbatimChar"/>
        </w:rPr>
        <w:t xml:space="preserve">UNVERIFIED</w:t>
      </w:r>
      <w:r>
        <w:t xml:space="preserve"> </w:t>
      </w:r>
      <w:r>
        <w:t xml:space="preserve">at</w:t>
      </w:r>
      <w:r>
        <w:t xml:space="preserve"> </w:t>
      </w:r>
      <w:r>
        <w:rPr>
          <w:rStyle w:val="VerbatimChar"/>
        </w:rPr>
        <w:t xml:space="preserve">outreach-sent-date + 10 working days</w:t>
      </w:r>
      <w:r>
        <w:t xml:space="preserve"> </w:t>
      </w:r>
      <w:r>
        <w:t xml:space="preserve">→ Engagement Partner escalation automatic. Any</w:t>
      </w:r>
      <w:r>
        <w:t xml:space="preserve"> </w:t>
      </w:r>
      <w:r>
        <w:rPr>
          <w:rStyle w:val="VerbatimChar"/>
        </w:rPr>
        <w:t xml:space="preserve">FAILED</w:t>
      </w:r>
      <w:r>
        <w:t xml:space="preserve"> </w:t>
      </w:r>
      <w:r>
        <w:t xml:space="preserve">item → halt verification; convene Engagement Partner + Senior to decide between Exception, retest, or backup-partner activation.</w:t>
      </w:r>
    </w:p>
    <w:p>
      <w:r>
        <w:pict>
          <v:rect style="width:0;height:1.5pt" o:hralign="center" o:hrstd="t" o:hr="t"/>
        </w:pict>
      </w:r>
    </w:p>
    <w:bookmarkEnd w:id="11"/>
    <w:bookmarkStart w:id="12" w:name="Xba60bd757234db8856c28463295f55831bc3f3b"/>
    <w:p>
      <w:pPr>
        <w:pStyle w:val="Heading2"/>
      </w:pPr>
      <w:r>
        <w:t xml:space="preserve">Verification artefacts and where they live</w:t>
      </w:r>
    </w:p>
    <w:p>
      <w:pPr>
        <w:pStyle w:val="FirstParagraph"/>
      </w:pPr>
      <w:r>
        <w:t xml:space="preserve">The methodology generates three artefacts per candidate, each with a defined portal home: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Where it lives</w:t>
            </w:r>
          </w:p>
        </w:tc>
        <w:tc>
          <w:tcPr/>
          <w:p>
            <w:pPr>
              <w:pStyle w:val="Compact"/>
            </w:pPr>
            <w:r>
              <w:t xml:space="preserve">What it is</w:t>
            </w:r>
          </w:p>
        </w:tc>
        <w:tc>
          <w:tcPr/>
          <w:p>
            <w:pPr>
              <w:pStyle w:val="Compact"/>
            </w:pPr>
            <w:r>
              <w:t xml:space="preserve">Who edits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Outreach instrument</w:t>
            </w:r>
          </w:p>
        </w:tc>
        <w:tc>
          <w:tcPr/>
          <w:p>
            <w:pPr>
              <w:pStyle w:val="Compact"/>
            </w:pPr>
            <w:r>
              <w:t xml:space="preserve">[[17-partner-verification-request]] template + per-candidate PDF instantiation in Office 365 partner folder</w:t>
            </w:r>
          </w:p>
        </w:tc>
        <w:tc>
          <w:tcPr/>
          <w:p>
            <w:pPr>
              <w:pStyle w:val="Compact"/>
            </w:pPr>
            <w:r>
              <w:t xml:space="preserve">The document sent to the candidate (11 items + 4 questions + cover email)</w:t>
            </w:r>
          </w:p>
        </w:tc>
        <w:tc>
          <w:tcPr/>
          <w:p>
            <w:pPr>
              <w:pStyle w:val="Compact"/>
            </w:pPr>
            <w:r>
              <w:t xml:space="preserve">Engagement Partner instantiates; Senior reviews; PM sends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Live verification state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/api/partners</w:t>
            </w:r>
            <w:r>
              <w:t xml:space="preserve"> </w:t>
            </w:r>
            <w:r>
              <w:t xml:space="preserve">(data) +</w:t>
            </w:r>
            <w:r>
              <w:t xml:space="preserve"> </w:t>
            </w:r>
            <w:r>
              <w:rPr>
                <w:rStyle w:val="VerbatimChar"/>
              </w:rPr>
              <w:t xml:space="preserve">/staff</w:t>
            </w:r>
            <w:r>
              <w:t xml:space="preserve"> </w:t>
            </w:r>
            <w:r>
              <w:t xml:space="preserve">“Cyprus Partner Verification”</w:t>
            </w:r>
            <w:r>
              <w:t xml:space="preserve"> </w:t>
            </w:r>
            <w:r>
              <w:t xml:space="preserve">panel (UI)</w:t>
            </w:r>
          </w:p>
        </w:tc>
        <w:tc>
          <w:tcPr/>
          <w:p>
            <w:pPr>
              <w:pStyle w:val="Compact"/>
            </w:pPr>
            <w:r>
              <w:t xml:space="preserve">Live source-of-truth for 11-item status, intro call, reference calls, constellation, close decision</w:t>
            </w:r>
          </w:p>
        </w:tc>
        <w:tc>
          <w:tcPr/>
          <w:p>
            <w:pPr>
              <w:pStyle w:val="Compact"/>
            </w:pPr>
            <w:r>
              <w:t xml:space="preserve">PM updates as evidence arrives; Engagement Partner signs status transitions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MSA pre-fill</w:t>
            </w:r>
          </w:p>
        </w:tc>
        <w:tc>
          <w:tcPr/>
          <w:p>
            <w:pPr>
              <w:pStyle w:val="Compact"/>
            </w:pPr>
            <w:r>
              <w:t xml:space="preserve">Per-candidate file in</w:t>
            </w:r>
            <w:r>
              <w:t xml:space="preserve"> </w:t>
            </w:r>
            <w:r>
              <w:rPr>
                <w:rStyle w:val="VerbatimChar"/>
              </w:rPr>
              <w:t xml:space="preserve">/Interlegal — Cyprus IP Box/Partners/&lt;candidate&gt;/msa-draft.docx</w:t>
            </w:r>
            <w:r>
              <w:t xml:space="preserve"> </w:t>
            </w:r>
            <w:r>
              <w:t xml:space="preserve">(Office 365)</w:t>
            </w:r>
          </w:p>
        </w:tc>
        <w:tc>
          <w:tcPr/>
          <w:p>
            <w:pPr>
              <w:pStyle w:val="Compact"/>
            </w:pPr>
            <w:r>
              <w:t xml:space="preserve">Pre-fill of [[19-master-services-agreement]] template (umbrella, signed once before first SOW); 11 warranties cross-walked from verification evidence</w:t>
            </w:r>
          </w:p>
        </w:tc>
        <w:tc>
          <w:tcPr/>
          <w:p>
            <w:pPr>
              <w:pStyle w:val="Compact"/>
            </w:pPr>
            <w:r>
              <w:t xml:space="preserve">Senior pre-fills as verification items close to VERIFIED; Engagement Partner signs on CLOSED — POSITIVE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SOW pre-fill</w:t>
            </w:r>
          </w:p>
        </w:tc>
        <w:tc>
          <w:tcPr/>
          <w:p>
            <w:pPr>
              <w:pStyle w:val="Compact"/>
            </w:pPr>
            <w:r>
              <w:t xml:space="preserve">Per-candidate file in</w:t>
            </w:r>
            <w:r>
              <w:t xml:space="preserve"> </w:t>
            </w:r>
            <w:r>
              <w:rPr>
                <w:rStyle w:val="VerbatimChar"/>
              </w:rPr>
              <w:t xml:space="preserve">/Interlegal — Cyprus IP Box/Partners/&lt;candidate&gt;/sow-draft.docx</w:t>
            </w:r>
            <w:r>
              <w:t xml:space="preserve"> </w:t>
            </w:r>
            <w:r>
              <w:t xml:space="preserve">(Office 365)</w:t>
            </w:r>
          </w:p>
        </w:tc>
        <w:tc>
          <w:tcPr/>
          <w:p>
            <w:pPr>
              <w:pStyle w:val="Compact"/>
            </w:pPr>
            <w:r>
              <w:t xml:space="preserve">Pre-fill of [[09-cyprus-partner-sow]] template with Interlegal-side variables resolved; candidate-side fields filled on close; references the MSA above at §2.2</w:t>
            </w:r>
          </w:p>
        </w:tc>
        <w:tc>
          <w:tcPr/>
          <w:p>
            <w:pPr>
              <w:pStyle w:val="Compact"/>
            </w:pPr>
            <w:r>
              <w:t xml:space="preserve">Senior pre-fills; Engagement Partner signs after MSA executed</w:t>
            </w:r>
          </w:p>
        </w:tc>
      </w:tr>
    </w:tbl>
    <w:p>
      <w:pPr>
        <w:pStyle w:val="BodyText"/>
      </w:pPr>
      <w:r>
        <w:rPr>
          <w:b/>
          <w:bCs/>
        </w:rPr>
        <w:t xml:space="preserve">No verification artefact lives in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scratch/</w:t>
      </w:r>
      <w:r>
        <w:rPr>
          <w:b/>
          <w:bCs/>
        </w:rPr>
        <w:t xml:space="preserve">.</w:t>
      </w:r>
      <w:r>
        <w:t xml:space="preserve"> </w:t>
      </w:r>
      <w:r>
        <w:t xml:space="preserve">Scratch is for research notes (e.g. [[scratch/partner-shortlist]]) — once a candidate is in active verification, all artefacts move to their portal homes.</w:t>
      </w:r>
    </w:p>
    <w:p>
      <w:r>
        <w:pict>
          <v:rect style="width:0;height:1.5pt" o:hralign="center" o:hrstd="t" o:hr="t"/>
        </w:pict>
      </w:r>
    </w:p>
    <w:bookmarkEnd w:id="12"/>
    <w:bookmarkStart w:id="13" w:name="sequence-of-events"/>
    <w:p>
      <w:pPr>
        <w:pStyle w:val="Heading2"/>
      </w:pPr>
      <w:r>
        <w:t xml:space="preserve">Sequence of events</w:t>
      </w:r>
    </w:p>
    <w:p>
      <w:pPr>
        <w:pStyle w:val="SourceCode"/>
      </w:pPr>
      <w:r>
        <w:rPr>
          <w:rStyle w:val="VerbatimChar"/>
        </w:rPr>
        <w:t xml:space="preserve">Day 0   ADR-006 amended; candidate added to /api/partners (VERIFICATION_OPEN)</w:t>
      </w:r>
      <w:r>
        <w:br/>
      </w:r>
      <w:r>
        <w:rPr>
          <w:rStyle w:val="VerbatimChar"/>
        </w:rPr>
        <w:t xml:space="preserve">        Senior initialises tracker on /staff (11 × UNVERIFIED + intro slot + ref slots)</w:t>
      </w:r>
      <w:r>
        <w:br/>
      </w:r>
      <w:r>
        <w:rPr>
          <w:rStyle w:val="VerbatimChar"/>
        </w:rPr>
        <w:t xml:space="preserve">        Engagement Partner reviews outreach instance instantiated from template 17</w:t>
      </w:r>
      <w:r>
        <w:br/>
      </w:r>
      <w:r>
        <w:rPr>
          <w:rStyle w:val="VerbatimChar"/>
        </w:rPr>
        <w:t xml:space="preserve">        PM sends PDF + cover email; OUTREACH_SENT_DATE recorded</w:t>
      </w:r>
      <w:r>
        <w:br/>
      </w:r>
      <w:r>
        <w:rPr>
          <w:rStyle w:val="VerbatimChar"/>
        </w:rPr>
        <w:t xml:space="preserve">Day +1..+10wd  Candidate writes response on Sections 1+2</w:t>
      </w:r>
      <w:r>
        <w:br/>
      </w:r>
      <w:r>
        <w:rPr>
          <w:rStyle w:val="VerbatimChar"/>
        </w:rPr>
        <w:t xml:space="preserve">               Each item moves UNVERIFIED → IN PROGRESS → VERIFIED / FAILED</w:t>
      </w:r>
      <w:r>
        <w:br/>
      </w:r>
      <w:r>
        <w:rPr>
          <w:rStyle w:val="VerbatimChar"/>
        </w:rPr>
        <w:t xml:space="preserve">Day +12wd      Introductory call (45 min) — 4 G5 ownership questions verbatim</w:t>
      </w:r>
      <w:r>
        <w:br/>
      </w:r>
      <w:r>
        <w:rPr>
          <w:rStyle w:val="VerbatimChar"/>
        </w:rPr>
        <w:t xml:space="preserve">               Constellation declared; Item 11 resolved</w:t>
      </w:r>
      <w:r>
        <w:br/>
      </w:r>
      <w:r>
        <w:rPr>
          <w:rStyle w:val="VerbatimChar"/>
        </w:rPr>
        <w:t xml:space="preserve">Day +13..+18wd Reference calls × 2 (Interlegal-scheduled)</w:t>
      </w:r>
      <w:r>
        <w:br/>
      </w:r>
      <w:r>
        <w:rPr>
          <w:rStyle w:val="VerbatimChar"/>
        </w:rPr>
        <w:t xml:space="preserve">               Item 10 closes</w:t>
      </w:r>
      <w:r>
        <w:br/>
      </w:r>
      <w:r>
        <w:rPr>
          <w:rStyle w:val="VerbatimChar"/>
        </w:rPr>
        <w:t xml:space="preserve">Day +18..+21wd Site visit + DPA signed</w:t>
      </w:r>
      <w:r>
        <w:br/>
      </w:r>
      <w:r>
        <w:rPr>
          <w:rStyle w:val="VerbatimChar"/>
        </w:rPr>
        <w:t xml:space="preserve">Day +21wd      Verification CLOSED — POSITIVE / NEGATIVE / EXCEPTION (Engagement Partner sign)</w:t>
      </w:r>
      <w:r>
        <w:br/>
      </w:r>
      <w:r>
        <w:rPr>
          <w:rStyle w:val="VerbatimChar"/>
        </w:rPr>
        <w:t xml:space="preserve">               On POSITIVE → SOW v1 instantiation begins (template 09)</w:t>
      </w:r>
      <w:r>
        <w:br/>
      </w:r>
      <w:r>
        <w:rPr>
          <w:rStyle w:val="VerbatimChar"/>
        </w:rPr>
        <w:t xml:space="preserve">               On NEGATIVE → backup-partner outreach (recipient swap on template 17)</w:t>
      </w:r>
    </w:p>
    <w:p>
      <w:pPr>
        <w:pStyle w:val="FirstParagraph"/>
      </w:pPr>
      <w:r>
        <w:t xml:space="preserve">Numbers are working-day targets, not contractual SLAs on the candidate’s side. Candidate slippage past 10wd written-response default triggers Engagement Partner escalation, not auto-FAILED — escalation may agree to extension with documented reason.</w:t>
      </w:r>
    </w:p>
    <w:p>
      <w:r>
        <w:pict>
          <v:rect style="width:0;height:1.5pt" o:hralign="center" o:hrstd="t" o:hr="t"/>
        </w:pict>
      </w:r>
    </w:p>
    <w:bookmarkEnd w:id="13"/>
    <w:bookmarkStart w:id="14" w:name="verification-close-decision"/>
    <w:p>
      <w:pPr>
        <w:pStyle w:val="Heading2"/>
      </w:pPr>
      <w:r>
        <w:t xml:space="preserve">Verification close decision</w:t>
      </w:r>
    </w:p>
    <w:p>
      <w:pPr>
        <w:pStyle w:val="FirstParagraph"/>
      </w:pPr>
      <w:r>
        <w:rPr>
          <w:b/>
          <w:bCs/>
        </w:rPr>
        <w:t xml:space="preserve">Authority:</w:t>
      </w:r>
      <w:r>
        <w:t xml:space="preserve"> </w:t>
      </w:r>
      <w:r>
        <w:t xml:space="preserve">Engagement Partner sign-off required to mark verification CLOSED — POSITIVE / CLOSED — NEGATIVE / EXCEPTION.</w:t>
      </w:r>
    </w:p>
    <w:p>
      <w:pPr>
        <w:pStyle w:val="BodyText"/>
      </w:pPr>
      <w:r>
        <w:rPr>
          <w:b/>
          <w:bCs/>
        </w:rPr>
        <w:t xml:space="preserve">Close-positive criteria (all required):</w:t>
      </w:r>
      <w:r>
        <w:t xml:space="preserve"> </w:t>
      </w:r>
      <w:r>
        <w:t xml:space="preserve">- All 11 items in</w:t>
      </w:r>
      <w:r>
        <w:t xml:space="preserve"> </w:t>
      </w:r>
      <w:r>
        <w:rPr>
          <w:rStyle w:val="VerbatimChar"/>
        </w:rPr>
        <w:t xml:space="preserve">VERIFIED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EXCEPTION</w:t>
      </w:r>
      <w:r>
        <w:t xml:space="preserve"> </w:t>
      </w:r>
      <w:r>
        <w:t xml:space="preserve">state</w:t>
      </w:r>
      <w:r>
        <w:t xml:space="preserve"> </w:t>
      </w:r>
      <w:r>
        <w:t xml:space="preserve">- Reference-call outcomes ≥ 2 × POSITIVE</w:t>
      </w:r>
      <w:r>
        <w:t xml:space="preserve"> </w:t>
      </w:r>
      <w:r>
        <w:t xml:space="preserve">- Intro-call outcome on G5 ownership questions deemed acceptable</w:t>
      </w:r>
      <w:r>
        <w:t xml:space="preserve"> </w:t>
      </w:r>
      <w:r>
        <w:t xml:space="preserve">- DPA signed</w:t>
      </w:r>
      <w:r>
        <w:t xml:space="preserve"> </w:t>
      </w:r>
      <w:r>
        <w:t xml:space="preserve">- Site visit held (optional pre-SOW; mandatory before first client data transfer)</w:t>
      </w:r>
    </w:p>
    <w:p>
      <w:pPr>
        <w:pStyle w:val="BodyText"/>
      </w:pPr>
      <w:r>
        <w:rPr>
          <w:b/>
          <w:bCs/>
        </w:rPr>
        <w:t xml:space="preserve">On CLOSED — POSITIVE:</w:t>
      </w:r>
      <w:r>
        <w:t xml:space="preserve"> </w:t>
      </w:r>
      <w:r>
        <w:t xml:space="preserve">1. Office 365 partner folder created at</w:t>
      </w:r>
      <w:r>
        <w:t xml:space="preserve"> </w:t>
      </w:r>
      <w:r>
        <w:rPr>
          <w:rStyle w:val="VerbatimChar"/>
        </w:rPr>
        <w:t xml:space="preserve">/Interlegal — Cyprus IP Box/Partners/&lt;candidate&gt;/</w:t>
      </w:r>
      <w:r>
        <w:t xml:space="preserve"> </w:t>
      </w:r>
      <w:r>
        <w:t xml:space="preserve">2. ADR-006 §</w:t>
      </w:r>
      <w:r>
        <w:t xml:space="preserve">“Engaged partner”</w:t>
      </w:r>
      <w:r>
        <w:t xml:space="preserve"> </w:t>
      </w:r>
      <w:r>
        <w:t xml:space="preserve">amended to record verification outcome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Pre-MSA demo held</w:t>
      </w:r>
      <w:r>
        <w:t xml:space="preserve"> </w:t>
      </w:r>
      <w:r>
        <w:t xml:space="preserve">per [[process/partner-demo]] — 75–90 min walkthrough of 7 portal surfaces + 2 synthetic matters + T-09/T-19 walkthrough; partner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record state moves</w:t>
      </w:r>
      <w:r>
        <w:t xml:space="preserve"> </w:t>
      </w:r>
      <w:r>
        <w:rPr>
          <w:rStyle w:val="VerbatimChar"/>
        </w:rPr>
        <w:t xml:space="preserve">VERIFICATION_CLOSED → DEMO_SCHEDULED → DEMO_DONE</w:t>
      </w:r>
      <w:r>
        <w:t xml:space="preserve">. Candidate decision logged within 5 b/d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MSA executed</w:t>
      </w:r>
      <w:r>
        <w:t xml:space="preserve"> </w:t>
      </w:r>
      <w:r>
        <w:t xml:space="preserve">from [[19-master-services-agreement]] (default path) — umbrella sign-off recording the 11 warranties evidenced during verification; partner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record advances to</w:t>
      </w:r>
      <w:r>
        <w:t xml:space="preserve"> </w:t>
      </w:r>
      <w:r>
        <w:rPr>
          <w:rStyle w:val="VerbatimChar"/>
        </w:rPr>
        <w:t xml:space="preserve">MSA_SIGNED</w:t>
      </w:r>
      <w:r>
        <w:t xml:space="preserve">. Alternative single-SOW path may be used for first-engagement only per T-09 §2.2 instruction; in that case the inline MSA clauses (T-19 §3 / §6 / §8 / §4.5) replace the umbrella reference and partner record stays at</w:t>
      </w:r>
      <w:r>
        <w:t xml:space="preserve"> </w:t>
      </w:r>
      <w:r>
        <w:rPr>
          <w:rStyle w:val="VerbatimChar"/>
        </w:rPr>
        <w:t xml:space="preserve">DEMO_DONE</w:t>
      </w:r>
      <w:r>
        <w:t xml:space="preserve"> </w:t>
      </w:r>
      <w:r>
        <w:t xml:space="preserve">until first SOW</w:t>
      </w:r>
      <w:r>
        <w:t xml:space="preserve"> </w:t>
      </w:r>
      <w:r>
        <w:t xml:space="preserve">5. SOW v1 instantiated from [[09-cyprus-partner-sow]] with Variant A (Constellation A) or Variant B (Constellation B) §3 scope; §2.2 MSA_DATE filled from step 4</w:t>
      </w:r>
      <w:r>
        <w:t xml:space="preserve"> </w:t>
      </w:r>
      <w:r>
        <w:t xml:space="preserve">6.</w:t>
      </w:r>
      <w:r>
        <w:t xml:space="preserve"> </w:t>
      </w:r>
      <w:r>
        <w:rPr>
          <w:b/>
          <w:bCs/>
        </w:rPr>
        <w:t xml:space="preserve">Partner-principal onboarding</w:t>
      </w:r>
      <w:r>
        <w:t xml:space="preserve"> </w:t>
      </w:r>
      <w:r>
        <w:t xml:space="preserve">([[partner-onboarding]] Trek 06) scheduled within first 5 b/d post-MSA — ≤ 1 working day for the MSA signatory</w:t>
      </w:r>
      <w:r>
        <w:t xml:space="preserve"> </w:t>
      </w:r>
      <w:r>
        <w:t xml:space="preserve">7.</w:t>
      </w:r>
      <w:r>
        <w:t xml:space="preserve"> </w:t>
      </w:r>
      <w:r>
        <w:rPr>
          <w:b/>
          <w:bCs/>
        </w:rPr>
        <w:t xml:space="preserve">Operational-staff onboarding</w:t>
      </w:r>
      <w:r>
        <w:t xml:space="preserve"> </w:t>
      </w:r>
      <w:r>
        <w:t xml:space="preserve">([[cyprus-contractor]] Trek 05) opens in parallel for partner’s audit/tax/CSP/Bar roles — ≤ 2 working days</w:t>
      </w:r>
      <w:r>
        <w:t xml:space="preserve"> </w:t>
      </w:r>
      <w:r>
        <w:t xml:space="preserve">8. Joint cadence (</w:t>
      </w:r>
      <w:r>
        <w:rPr>
          <w:rStyle w:val="VerbatimChar"/>
        </w:rPr>
        <w:t xml:space="preserve">process/joint-cadence</w:t>
      </w:r>
      <w:r>
        <w:t xml:space="preserve">) onboarding begins; first weekly call within 5 working days</w:t>
      </w:r>
      <w:r>
        <w:t xml:space="preserve"> </w:t>
      </w:r>
      <w:r>
        <w:t xml:space="preserve">9. First-matter cycle (G0 → G3 → G4) commences once SOW counter-signed</w:t>
      </w:r>
      <w:r>
        <w:t xml:space="preserve"> </w:t>
      </w:r>
      <w:r>
        <w:t xml:space="preserve">10. Backup-partner identification scheduled within 90 days of MSA per T-19 §8.1</w:t>
      </w:r>
    </w:p>
    <w:p>
      <w:pPr>
        <w:pStyle w:val="BodyText"/>
      </w:pPr>
      <w:r>
        <w:rPr>
          <w:b/>
          <w:bCs/>
        </w:rPr>
        <w:t xml:space="preserve">On CLOSED — NEGATIVE:</w:t>
      </w:r>
      <w:r>
        <w:t xml:space="preserve"> </w:t>
      </w:r>
      <w:r>
        <w:t xml:space="preserve">1.</w:t>
      </w:r>
      <w:r>
        <w:t xml:space="preserve"> </w:t>
      </w:r>
      <w:r>
        <w:rPr>
          <w:rStyle w:val="VerbatimChar"/>
        </w:rPr>
        <w:t xml:space="preserve">/api/partners</w:t>
      </w:r>
      <w:r>
        <w:t xml:space="preserve"> </w:t>
      </w:r>
      <w:r>
        <w:t xml:space="preserve">state moves to</w:t>
      </w:r>
      <w:r>
        <w:t xml:space="preserve"> </w:t>
      </w:r>
      <w:r>
        <w:rPr>
          <w:rStyle w:val="VerbatimChar"/>
        </w:rPr>
        <w:t xml:space="preserve">VERIFICATION_FAILED</w:t>
      </w:r>
      <w:r>
        <w:t xml:space="preserve">; rationale captured in append-only log</w:t>
      </w:r>
      <w:r>
        <w:t xml:space="preserve"> </w:t>
      </w:r>
      <w:r>
        <w:t xml:space="preserve">2. Backup-partner outreach activated (recipient swap on template 17; new verification opens with backup at</w:t>
      </w:r>
      <w:r>
        <w:t xml:space="preserve"> </w:t>
      </w:r>
      <w:r>
        <w:rPr>
          <w:rStyle w:val="VerbatimChar"/>
        </w:rPr>
        <w:t xml:space="preserve">state: VERIFICATION_OPEN</w:t>
      </w:r>
      <w:r>
        <w:t xml:space="preserve">)</w:t>
      </w:r>
      <w:r>
        <w:t xml:space="preserve"> </w:t>
      </w:r>
      <w:r>
        <w:t xml:space="preserve">3. ADR-006 §</w:t>
      </w:r>
      <w:r>
        <w:t xml:space="preserve">“Engaged partner”</w:t>
      </w:r>
      <w:r>
        <w:t xml:space="preserve"> </w:t>
      </w:r>
      <w:r>
        <w:t xml:space="preserve">amended with negative outcome + rationale</w:t>
      </w:r>
      <w:r>
        <w:t xml:space="preserve"> </w:t>
      </w:r>
      <w:r>
        <w:t xml:space="preserve">4. Live engagement (if any) suspended pending backup verification close</w:t>
      </w:r>
    </w:p>
    <w:p>
      <w:r>
        <w:pict>
          <v:rect style="width:0;height:1.5pt" o:hralign="center" o:hrstd="t" o:hr="t"/>
        </w:pict>
      </w:r>
    </w:p>
    <w:bookmarkEnd w:id="14"/>
    <w:bookmarkStart w:id="15" w:name="backup-partner-doctrine"/>
    <w:p>
      <w:pPr>
        <w:pStyle w:val="Heading2"/>
      </w:pPr>
      <w:r>
        <w:t xml:space="preserve">Backup-partner doctrine</w:t>
      </w:r>
    </w:p>
    <w:p>
      <w:pPr>
        <w:pStyle w:val="FirstParagraph"/>
      </w:pPr>
      <w:r>
        <w:t xml:space="preserve">Per ADR-006 §</w:t>
      </w:r>
      <w:r>
        <w:t xml:space="preserve">“Risk: partner becomes single point of failure”</w:t>
      </w:r>
      <w:r>
        <w:t xml:space="preserve">: Year-1 plan identifies a second ICPAC firm and runs a warm-up verification in parallel to live engagement.</w:t>
      </w:r>
    </w:p>
    <w:p>
      <w:pPr>
        <w:pStyle w:val="Compact"/>
        <w:numPr>
          <w:ilvl w:val="0"/>
          <w:numId w:val="1002"/>
        </w:numPr>
      </w:pPr>
      <w:r>
        <w:t xml:space="preserve">Backup verification uses the same template 17 + same 11 items + same close criteria. No deviation.</w:t>
      </w:r>
    </w:p>
    <w:p>
      <w:pPr>
        <w:pStyle w:val="Compact"/>
        <w:numPr>
          <w:ilvl w:val="0"/>
          <w:numId w:val="1002"/>
        </w:numPr>
      </w:pPr>
      <w:r>
        <w:t xml:space="preserve">Backup verification close state is</w:t>
      </w:r>
      <w:r>
        <w:t xml:space="preserve"> </w:t>
      </w:r>
      <w:r>
        <w:rPr>
          <w:rStyle w:val="VerbatimChar"/>
        </w:rPr>
        <w:t xml:space="preserve">WARMED-UP</w:t>
      </w:r>
      <w:r>
        <w:t xml:space="preserve"> </w:t>
      </w:r>
      <w:r>
        <w:t xml:space="preserve">(one notch above</w:t>
      </w:r>
      <w:r>
        <w:t xml:space="preserve"> </w:t>
      </w:r>
      <w:r>
        <w:rPr>
          <w:rStyle w:val="VerbatimChar"/>
        </w:rPr>
        <w:t xml:space="preserve">CLOSED — POSITIVE</w:t>
      </w:r>
      <w:r>
        <w:t xml:space="preserve">): NDA + DPA signed, but no commercial SOW. SOW signs only on primary partner’s failure trigger.</w:t>
      </w:r>
    </w:p>
    <w:p>
      <w:pPr>
        <w:pStyle w:val="Compact"/>
        <w:numPr>
          <w:ilvl w:val="0"/>
          <w:numId w:val="1002"/>
        </w:numPr>
      </w:pPr>
      <w:r>
        <w:t xml:space="preserve">Both partners visible on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: primary with</w:t>
      </w:r>
      <w:r>
        <w:t xml:space="preserve"> </w:t>
      </w:r>
      <w:r>
        <w:rPr>
          <w:rStyle w:val="VerbatimChar"/>
        </w:rPr>
        <w:t xml:space="preserve">state: ACTIVE</w:t>
      </w:r>
      <w:r>
        <w:t xml:space="preserve">; backup with</w:t>
      </w:r>
      <w:r>
        <w:t xml:space="preserve"> </w:t>
      </w:r>
      <w:r>
        <w:rPr>
          <w:rStyle w:val="VerbatimChar"/>
        </w:rPr>
        <w:t xml:space="preserve">state: WARMED-UP</w:t>
      </w:r>
      <w:r>
        <w:t xml:space="preserve">. Backup transitions to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if primary fails.</w:t>
      </w:r>
    </w:p>
    <w:p>
      <w:r>
        <w:pict>
          <v:rect style="width:0;height:1.5pt" o:hralign="center" o:hrstd="t" o:hr="t"/>
        </w:pict>
      </w:r>
    </w:p>
    <w:bookmarkEnd w:id="15"/>
    <w:bookmarkStart w:id="16" w:name="office-365-document-mirror"/>
    <w:p>
      <w:pPr>
        <w:pStyle w:val="Heading2"/>
      </w:pPr>
      <w:r>
        <w:t xml:space="preserve">Office 365 document mirror</w:t>
      </w:r>
    </w:p>
    <w:p>
      <w:pPr>
        <w:pStyle w:val="FirstParagraph"/>
      </w:pPr>
      <w:r>
        <w:t xml:space="preserve">Every partner-verification artefact is mirrored to a shared Office 365 folder so all Interlegal team members (and post-DPA, the candidate’s team) can access from Word / Teams / Outlook without portal access.</w:t>
      </w:r>
    </w:p>
    <w:p>
      <w:pPr>
        <w:pStyle w:val="BodyText"/>
      </w:pPr>
      <w:r>
        <w:rPr>
          <w:b/>
          <w:bCs/>
        </w:rPr>
        <w:t xml:space="preserve">Folder structure:</w:t>
      </w:r>
    </w:p>
    <w:p>
      <w:pPr>
        <w:pStyle w:val="SourceCode"/>
      </w:pPr>
      <w:r>
        <w:rPr>
          <w:rStyle w:val="VerbatimChar"/>
        </w:rPr>
        <w:t xml:space="preserve">/Interlegal — Cyprus IP Box/</w:t>
      </w:r>
      <w:r>
        <w:br/>
      </w:r>
      <w:r>
        <w:rPr>
          <w:rStyle w:val="VerbatimChar"/>
        </w:rPr>
        <w:t xml:space="preserve">  ├─ Process/                       # canonical methodology docs (this file mirrored here)</w:t>
      </w:r>
      <w:r>
        <w:br/>
      </w:r>
      <w:r>
        <w:rPr>
          <w:rStyle w:val="VerbatimChar"/>
        </w:rPr>
        <w:t xml:space="preserve">  ├─ Templates/                     # all docs/templates/* mirrored as .docx</w:t>
      </w:r>
      <w:r>
        <w:br/>
      </w:r>
      <w:r>
        <w:rPr>
          <w:rStyle w:val="VerbatimChar"/>
        </w:rPr>
        <w:t xml:space="preserve">  ├─ Decisions/                     # ADRs mirrored as .docx</w:t>
      </w:r>
      <w:r>
        <w:br/>
      </w:r>
      <w:r>
        <w:rPr>
          <w:rStyle w:val="VerbatimChar"/>
        </w:rPr>
        <w:t xml:space="preserve">  ├─ Partners/</w:t>
      </w:r>
      <w:r>
        <w:br/>
      </w:r>
      <w:r>
        <w:rPr>
          <w:rStyle w:val="VerbatimChar"/>
        </w:rPr>
        <w:t xml:space="preserve">  │   ├─ {{candidate-slug}}/</w:t>
      </w:r>
      <w:r>
        <w:br/>
      </w:r>
      <w:r>
        <w:rPr>
          <w:rStyle w:val="VerbatimChar"/>
        </w:rPr>
        <w:t xml:space="preserve">  │   │   ├─ outreach.pdf           # instantiated from template 17</w:t>
      </w:r>
      <w:r>
        <w:br/>
      </w:r>
      <w:r>
        <w:rPr>
          <w:rStyle w:val="VerbatimChar"/>
        </w:rPr>
        <w:t xml:space="preserve">  │   │   ├─ sow-draft.docx         # instantiated from template 09</w:t>
      </w:r>
      <w:r>
        <w:br/>
      </w:r>
      <w:r>
        <w:rPr>
          <w:rStyle w:val="VerbatimChar"/>
        </w:rPr>
        <w:t xml:space="preserve">  │   │   ├─ dpa-signed.pdf</w:t>
      </w:r>
      <w:r>
        <w:br/>
      </w:r>
      <w:r>
        <w:rPr>
          <w:rStyle w:val="VerbatimChar"/>
        </w:rPr>
        <w:t xml:space="preserve">  │   │   ├─ references/</w:t>
      </w:r>
      <w:r>
        <w:br/>
      </w:r>
      <w:r>
        <w:rPr>
          <w:rStyle w:val="VerbatimChar"/>
        </w:rPr>
        <w:t xml:space="preserve">  │   │   │   ├─ ref-1-call-notes.docx</w:t>
      </w:r>
      <w:r>
        <w:br/>
      </w:r>
      <w:r>
        <w:rPr>
          <w:rStyle w:val="VerbatimChar"/>
        </w:rPr>
        <w:t xml:space="preserve">  │   │   │   └─ ref-2-call-notes.docx</w:t>
      </w:r>
      <w:r>
        <w:br/>
      </w:r>
      <w:r>
        <w:rPr>
          <w:rStyle w:val="VerbatimChar"/>
        </w:rPr>
        <w:t xml:space="preserve">  │   │   └─ intro-call-notes.docx</w:t>
      </w:r>
      <w:r>
        <w:br/>
      </w:r>
      <w:r>
        <w:rPr>
          <w:rStyle w:val="VerbatimChar"/>
        </w:rPr>
        <w:t xml:space="preserve">  │   └─ {{backup-candidate-slug}}/</w:t>
      </w:r>
      <w:r>
        <w:br/>
      </w:r>
      <w:r>
        <w:rPr>
          <w:rStyle w:val="VerbatimChar"/>
        </w:rPr>
        <w:t xml:space="preserve">  │       └─ ... (same structure)</w:t>
      </w:r>
      <w:r>
        <w:br/>
      </w:r>
      <w:r>
        <w:rPr>
          <w:rStyle w:val="VerbatimChar"/>
        </w:rPr>
        <w:t xml:space="preserve">  └─ Matters/</w:t>
      </w:r>
      <w:r>
        <w:br/>
      </w:r>
      <w:r>
        <w:rPr>
          <w:rStyle w:val="VerbatimChar"/>
        </w:rPr>
        <w:t xml:space="preserve">      └─ M-XXXX/                    # per-matter cockpit mirror (separate workflow)</w:t>
      </w:r>
    </w:p>
    <w:p>
      <w:pPr>
        <w:pStyle w:val="FirstParagraph"/>
      </w:pPr>
      <w:r>
        <w:rPr>
          <w:b/>
          <w:bCs/>
        </w:rPr>
        <w:t xml:space="preserve">Sync model:</w:t>
      </w:r>
      <w:r>
        <w:t xml:space="preserve"> </w:t>
      </w:r>
      <w:r>
        <w:t xml:space="preserve">repo is canonical (machine-checked, validator-enforced); O365 is the team-collaboration mirror (Word edits, comments, redlines). Repo → O365 is one-way push via</w:t>
      </w:r>
      <w:r>
        <w:t xml:space="preserve"> </w:t>
      </w:r>
      <w:r>
        <w:rPr>
          <w:rStyle w:val="VerbatimChar"/>
        </w:rPr>
        <w:t xml:space="preserve">scripts/sync-to-o365.py</w:t>
      </w:r>
      <w:r>
        <w:t xml:space="preserve"> </w:t>
      </w:r>
      <w:r>
        <w:t xml:space="preserve">(runs on commit-to-main; AS configures app credentials per ADR-009).</w:t>
      </w:r>
    </w:p>
    <w:p>
      <w:pPr>
        <w:pStyle w:val="BodyText"/>
      </w:pPr>
      <w:r>
        <w:rPr>
          <w:b/>
          <w:bCs/>
        </w:rPr>
        <w:t xml:space="preserve">Each portal page carries a footer link to its O365 mirror folder.</w:t>
      </w:r>
      <w:r>
        <w:t xml:space="preserve"> </w:t>
      </w:r>
      <w:r>
        <w:t xml:space="preserve">See</w:t>
      </w:r>
      <w:r>
        <w:t xml:space="preserve"> </w:t>
      </w:r>
      <w:r>
        <w:rPr>
          <w:rStyle w:val="VerbatimChar"/>
        </w:rPr>
        <w:t xml:space="preserve">office365_path</w:t>
      </w:r>
      <w:r>
        <w:t xml:space="preserve"> </w:t>
      </w:r>
      <w:r>
        <w:t xml:space="preserve">frontmatter field present on every FINAL document.</w:t>
      </w:r>
    </w:p>
    <w:p>
      <w:r>
        <w:pict>
          <v:rect style="width:0;height:1.5pt" o:hralign="center" o:hrstd="t" o:hr="t"/>
        </w:pict>
      </w:r>
    </w:p>
    <w:bookmarkEnd w:id="16"/>
    <w:bookmarkStart w:id="17" w:name="open-verification-operational-reference"/>
    <w:p>
      <w:pPr>
        <w:pStyle w:val="Heading2"/>
      </w:pPr>
      <w:r>
        <w:t xml:space="preserve">Open verification — operational reference</w:t>
      </w:r>
    </w:p>
    <w:p>
      <w:pPr>
        <w:pStyle w:val="FirstParagraph"/>
      </w:pPr>
      <w:r>
        <w:t xml:space="preserve">Live state always lives at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“Cyprus Partner Verification”</w:t>
      </w:r>
      <w:r>
        <w:t xml:space="preserve">. The data backing the panel is at</w:t>
      </w:r>
      <w:r>
        <w:t xml:space="preserve"> </w:t>
      </w:r>
      <w:r>
        <w:rPr>
          <w:rStyle w:val="VerbatimChar"/>
        </w:rPr>
        <w:t xml:space="preserve">/api/partners</w:t>
      </w:r>
      <w:r>
        <w:t xml:space="preserve">. Both surfaces are team-visible (no client access). For a verification snapshot in any presentation / external review, screenshot the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panel rather than copying the table.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Related:</w:t>
      </w:r>
      <w:r>
        <w:t xml:space="preserve"> </w:t>
      </w:r>
      <w:r>
        <w:t xml:space="preserve">[[ADR-006]] selection criteria + Constellation A/B + Oxford instance; [[ADR-005]] G0-G6 + G5 ownership; [[ADR-009]] language and filing protocol; [[17-partner-verification-request]] outreach template; [[09-cyprus-partner-sow]] SOW template; [[joint-cadence]] post-SOW operating rhythm.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2026-05-17T19:33:08Z</dcterms:created>
  <dcterms:modified xsi:type="dcterms:W3CDTF">2026-05-17T19:33:08Z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