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</w:pPr>
            <w:r>
              <w:t xml:space="preserve">title: Partner Demo Pack — Manifest + Sequence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status: FINAL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language: english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controlling: true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prepared_by: Interlegal Engagement Partner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finalised_by: Interlegal Engagement Partner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gate_required: []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audience: Interlegal Engagement Partner running a pre-MSA demo with a candidate Cyprus partner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target_duration: 75–90 min demo call + 15 min Q&amp;A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created: 2026-05-17</w:t>
            </w:r>
          </w:p>
        </w:tc>
      </w:tr>
    </w:tbl>
    <w:bookmarkStart w:id="33" w:name="partner-demo-pack-manifest-sequence"/>
    <w:p>
      <w:pPr>
        <w:pStyle w:val="Heading1"/>
      </w:pPr>
      <w:r>
        <w:t xml:space="preserve">Partner Demo Pack — Manifest + Sequence</w:t>
      </w:r>
    </w:p>
    <w:p>
      <w:pPr>
        <w:pStyle w:val="FirstParagraph"/>
      </w:pPr>
      <w:r>
        <w:rPr>
          <w:b/>
          <w:bCs/>
        </w:rPr>
        <w:t xml:space="preserve">Purpose.</w:t>
      </w:r>
      <w:r>
        <w:t xml:space="preserve"> </w:t>
      </w:r>
      <w:r>
        <w:t xml:space="preserve">Walk a verified-positive candidate Cyprus partner through the operating system end-to-end, in 75–90 min, so they can decide whether to sign the MSA. The demo is held</w:t>
      </w:r>
      <w:r>
        <w:t xml:space="preserve"> </w:t>
      </w:r>
      <w:r>
        <w:rPr>
          <w:b/>
          <w:bCs/>
        </w:rPr>
        <w:t xml:space="preserve">after</w:t>
      </w:r>
      <w:r>
        <w:t xml:space="preserve"> </w:t>
      </w:r>
      <w:r>
        <w:t xml:space="preserve">verification CLOSED — POSITIVE on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before</w:t>
      </w:r>
      <w:r>
        <w:t xml:space="preserve"> </w:t>
      </w:r>
      <w:r>
        <w:t xml:space="preserve">MSA execution.</w:t>
      </w:r>
    </w:p>
    <w:p>
      <w:pPr>
        <w:pStyle w:val="BodyText"/>
      </w:pPr>
      <w:r>
        <w:rPr>
          <w:b/>
          <w:bCs/>
        </w:rPr>
        <w:t xml:space="preserve">Audience for the demo:</w:t>
      </w:r>
      <w:r>
        <w:t xml:space="preserve"> </w:t>
      </w:r>
      <w:r>
        <w:t xml:space="preserve">candidate’s partner principal (the future MSA signatory) + their incoming roles (audit, tax advisor, corporate services, Bar member — at minimum the principal). Up to 5 attendees from candidate side.</w:t>
      </w:r>
    </w:p>
    <w:p>
      <w:pPr>
        <w:pStyle w:val="BodyText"/>
      </w:pPr>
      <w:r>
        <w:rPr>
          <w:b/>
          <w:bCs/>
        </w:rPr>
        <w:t xml:space="preserve">Audience for this document:</w:t>
      </w:r>
      <w:r>
        <w:t xml:space="preserve"> </w:t>
      </w:r>
      <w:r>
        <w:t xml:space="preserve">Interlegal Engagement Partner (the demo host). Interlegal Senior may co-host for technical sections.</w:t>
      </w:r>
    </w:p>
    <w:p>
      <w:pPr>
        <w:pStyle w:val="BodyText"/>
      </w:pPr>
      <w:r>
        <w:rPr>
          <w:b/>
          <w:bCs/>
        </w:rPr>
        <w:t xml:space="preserve">Pre-condition.</w:t>
      </w:r>
      <w:r>
        <w:t xml:space="preserve"> </w:t>
      </w:r>
      <w:r>
        <w:t xml:space="preserve">Verification CLOSED — POSITIVE;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 </w:t>
      </w:r>
      <w:r>
        <w:t xml:space="preserve">partner record</w:t>
      </w:r>
      <w:r>
        <w:t xml:space="preserve"> </w:t>
      </w:r>
      <w:r>
        <w:rPr>
          <w:rStyle w:val="VerbatimChar"/>
        </w:rPr>
        <w:t xml:space="preserve">state</w:t>
      </w:r>
      <w:r>
        <w:t xml:space="preserve"> </w:t>
      </w:r>
      <w:r>
        <w:t xml:space="preserve">advanced to</w:t>
      </w:r>
      <w:r>
        <w:t xml:space="preserve"> </w:t>
      </w:r>
      <w:r>
        <w:rPr>
          <w:rStyle w:val="VerbatimChar"/>
        </w:rPr>
        <w:t xml:space="preserve">DEMO_SCHEDULED</w:t>
      </w:r>
      <w:r>
        <w:t xml:space="preserve">; MSA-draft pre-filled and shared 48 h before demo; SOW-draft outline shared.</w:t>
      </w:r>
    </w:p>
    <w:p>
      <w:pPr>
        <w:pStyle w:val="BodyText"/>
      </w:pPr>
      <w:r>
        <w:rPr>
          <w:b/>
          <w:bCs/>
        </w:rPr>
        <w:t xml:space="preserve">This manifest is partner-agnostic.</w:t>
      </w:r>
      <w:r>
        <w:t xml:space="preserve"> </w:t>
      </w:r>
      <w:r>
        <w:t xml:space="preserve">No firm name; firm-specific items lifted into a per-demo brief filed at</w:t>
      </w:r>
      <w:r>
        <w:t xml:space="preserve"> </w:t>
      </w:r>
      <w:r>
        <w:rPr>
          <w:rStyle w:val="VerbatimChar"/>
        </w:rPr>
        <w:t xml:space="preserve">/Interlegal — Cyprus IP Box/Partners/&lt;candidate&gt;/demo-brief-YYYY-MM-DD.docx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9" w:name="pre-demo-setup-checklist-t48-h-to-t0"/>
    <w:p>
      <w:pPr>
        <w:pStyle w:val="Heading2"/>
      </w:pPr>
      <w:r>
        <w:t xml:space="preserve">Pre-demo setup checklist (T–48 h to T–0)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T–48 h</w:t>
      </w:r>
      <w:r>
        <w:t xml:space="preserve"> </w:t>
      </w:r>
      <w:r>
        <w:t xml:space="preserve">— MSA-draft + SOW-draft shared with candidate via secure portal (per W-9 channel verified during verification)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T–48 h</w:t>
      </w:r>
      <w:r>
        <w:t xml:space="preserve"> </w:t>
      </w:r>
      <w:r>
        <w:t xml:space="preserve">— Demo agenda + this manifest’s §</w:t>
      </w:r>
      <w:r>
        <w:t xml:space="preserve">“Speaking sequence”</w:t>
      </w:r>
      <w:r>
        <w:t xml:space="preserve"> </w:t>
      </w:r>
      <w:r>
        <w:t xml:space="preserve">sent to candidate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T–24 h</w:t>
      </w:r>
      <w:r>
        <w:t xml:space="preserve"> </w:t>
      </w:r>
      <w:r>
        <w:t xml:space="preserve">— Confirm candidate attendee list; brief Interlegal Senior co-host if any technical deep-dive expected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T–4 h</w:t>
      </w:r>
      <w:r>
        <w:t xml:space="preserve"> </w:t>
      </w:r>
      <w:r>
        <w:t xml:space="preserve">— Open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,</w:t>
      </w:r>
      <w:r>
        <w:t xml:space="preserve"> </w:t>
      </w:r>
      <w:r>
        <w:rPr>
          <w:rStyle w:val="VerbatimChar"/>
        </w:rPr>
        <w:t xml:space="preserve">/home</w:t>
      </w:r>
      <w:r>
        <w:t xml:space="preserve">,</w:t>
      </w:r>
      <w:r>
        <w:t xml:space="preserve"> </w:t>
      </w:r>
      <w:r>
        <w:rPr>
          <w:rStyle w:val="VerbatimChar"/>
        </w:rPr>
        <w:t xml:space="preserve">/calculator</w:t>
      </w:r>
      <w:r>
        <w:t xml:space="preserve">,</w:t>
      </w:r>
      <w:r>
        <w:t xml:space="preserve"> </w:t>
      </w:r>
      <w:r>
        <w:rPr>
          <w:rStyle w:val="VerbatimChar"/>
        </w:rPr>
        <w:t xml:space="preserve">/process</w:t>
      </w:r>
      <w:r>
        <w:t xml:space="preserve">,</w:t>
      </w:r>
      <w:r>
        <w:t xml:space="preserve"> </w:t>
      </w:r>
      <w:r>
        <w:rPr>
          <w:rStyle w:val="VerbatimChar"/>
        </w:rPr>
        <w:t xml:space="preserve">/templates</w:t>
      </w:r>
      <w:r>
        <w:t xml:space="preserve">,</w:t>
      </w:r>
      <w:r>
        <w:t xml:space="preserve"> </w:t>
      </w:r>
      <w:r>
        <w:rPr>
          <w:rStyle w:val="VerbatimChar"/>
        </w:rPr>
        <w:t xml:space="preserve">/learn</w:t>
      </w:r>
      <w:r>
        <w:t xml:space="preserve">,</w:t>
      </w:r>
      <w:r>
        <w:t xml:space="preserve"> </w:t>
      </w:r>
      <w:r>
        <w:rPr>
          <w:rStyle w:val="VerbatimChar"/>
        </w:rPr>
        <w:t xml:space="preserve">/</w:t>
      </w:r>
      <w:r>
        <w:t xml:space="preserve"> </w:t>
      </w:r>
      <w:r>
        <w:t xml:space="preserve">(landing) in 7 browser tabs; verify all live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T–4 h</w:t>
      </w:r>
      <w:r>
        <w:t xml:space="preserve"> </w:t>
      </w:r>
      <w:r>
        <w:t xml:space="preserve">— Open in 3 additional tabs: synthetic matter M-0042 cockpit view + M-0043 cockpit view + engine pytest output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T–1 h</w:t>
      </w:r>
      <w:r>
        <w:t xml:space="preserve"> </w:t>
      </w:r>
      <w:r>
        <w:t xml:space="preserve">— Run a dry click through the 7 surfaces (3 min) — catch any CF cache misses or layout regressions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T–0</w:t>
      </w:r>
      <w:r>
        <w:t xml:space="preserve"> </w:t>
      </w:r>
      <w:r>
        <w:t xml:space="preserve">— Recording on (subject to candidate consent); screen-share Interlegal Engagement Partner’s laptop</w:t>
      </w:r>
    </w:p>
    <w:p>
      <w:r>
        <w:pict>
          <v:rect style="width:0;height:1.5pt" o:hralign="center" o:hrstd="t" o:hr="t"/>
        </w:pict>
      </w:r>
    </w:p>
    <w:bookmarkEnd w:id="9"/>
    <w:bookmarkStart w:id="10" w:name="speaking-sequence-75-min-core-15-min-qa"/>
    <w:p>
      <w:pPr>
        <w:pStyle w:val="Heading2"/>
      </w:pPr>
      <w:r>
        <w:t xml:space="preserve">Speaking sequence (75 min core + 15 min Q&amp;A)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Block</w:t>
            </w:r>
          </w:p>
        </w:tc>
        <w:tc>
          <w:tcPr/>
          <w:p>
            <w:pPr>
              <w:pStyle w:val="Compact"/>
            </w:pPr>
            <w:r>
              <w:t xml:space="preserve">Min</w:t>
            </w:r>
          </w:p>
        </w:tc>
        <w:tc>
          <w:tcPr/>
          <w:p>
            <w:pPr>
              <w:pStyle w:val="Compact"/>
            </w:pPr>
            <w:r>
              <w:t xml:space="preserve">Surface</w:t>
            </w:r>
          </w:p>
        </w:tc>
        <w:tc>
          <w:tcPr/>
          <w:p>
            <w:pPr>
              <w:pStyle w:val="Compact"/>
            </w:pPr>
            <w:r>
              <w:t xml:space="preserve">Speaking lead</w:t>
            </w:r>
          </w:p>
        </w:tc>
      </w:tr>
      <w:tr>
        <w:tc>
          <w:tcPr/>
          <w:p>
            <w:pPr>
              <w:pStyle w:val="Compact"/>
            </w:pPr>
            <w:r>
              <w:t xml:space="preserve">0. Welcome + agenda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Engagement Partner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 Service overview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</w:t>
            </w:r>
            <w:r>
              <w:t xml:space="preserve"> </w:t>
            </w:r>
            <w:r>
              <w:t xml:space="preserve">landing</w:t>
            </w:r>
          </w:p>
        </w:tc>
        <w:tc>
          <w:tcPr/>
          <w:p>
            <w:pPr>
              <w:pStyle w:val="Compact"/>
            </w:pPr>
            <w:r>
              <w:t xml:space="preserve">Engagement Partner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 Operating system tour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/process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/home</w:t>
            </w:r>
          </w:p>
        </w:tc>
        <w:tc>
          <w:tcPr/>
          <w:p>
            <w:pPr>
              <w:pStyle w:val="Compact"/>
            </w:pPr>
            <w:r>
              <w:t xml:space="preserve">Engagement Partner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3. Engine + calculator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/calculator</w:t>
            </w:r>
            <w:r>
              <w:t xml:space="preserve"> </w:t>
            </w:r>
            <w:r>
              <w:t xml:space="preserve">+ pytest console</w:t>
            </w:r>
          </w:p>
        </w:tc>
        <w:tc>
          <w:tcPr/>
          <w:p>
            <w:pPr>
              <w:pStyle w:val="Compact"/>
            </w:pPr>
            <w:r>
              <w:t xml:space="preserve">Senior (co-host)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 Templates corpus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/templates</w:t>
            </w:r>
          </w:p>
        </w:tc>
        <w:tc>
          <w:tcPr/>
          <w:p>
            <w:pPr>
              <w:pStyle w:val="Compact"/>
            </w:pPr>
            <w:r>
              <w:t xml:space="preserve">Engagement Partner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5. Happy-path matter walkthrough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/staff</w:t>
            </w:r>
            <w:r>
              <w:t xml:space="preserve"> </w:t>
            </w:r>
            <w:r>
              <w:t xml:space="preserve">cockpit + M-0042 docs</w:t>
            </w:r>
          </w:p>
        </w:tc>
        <w:tc>
          <w:tcPr/>
          <w:p>
            <w:pPr>
              <w:pStyle w:val="Compact"/>
            </w:pPr>
            <w:r>
              <w:t xml:space="preserve">Senior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6. Problem-state matter walkthrough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/staff</w:t>
            </w:r>
            <w:r>
              <w:t xml:space="preserve"> </w:t>
            </w:r>
            <w:r>
              <w:t xml:space="preserve">+ M-0043 docs</w:t>
            </w:r>
          </w:p>
        </w:tc>
        <w:tc>
          <w:tcPr/>
          <w:p>
            <w:pPr>
              <w:pStyle w:val="Compact"/>
            </w:pPr>
            <w:r>
              <w:t xml:space="preserve">Senior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7. Partner ownership story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ADR-006 +</w:t>
            </w:r>
            <w:r>
              <w:t xml:space="preserve"> </w:t>
            </w:r>
            <w:r>
              <w:rPr>
                <w:rStyle w:val="VerbatimChar"/>
              </w:rPr>
              <w:t xml:space="preserve">/staff</w:t>
            </w:r>
            <w:r>
              <w:t xml:space="preserve"> </w:t>
            </w:r>
            <w:r>
              <w:t xml:space="preserve">Cyprus Partner Verification panel</w:t>
            </w:r>
          </w:p>
        </w:tc>
        <w:tc>
          <w:tcPr/>
          <w:p>
            <w:pPr>
              <w:pStyle w:val="Compact"/>
            </w:pPr>
            <w:r>
              <w:t xml:space="preserve">Engagement Partner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8. The MSA + SOW you’d sign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T-19 + T-09 in</w:t>
            </w:r>
            <w:r>
              <w:t xml:space="preserve"> </w:t>
            </w:r>
            <w:r>
              <w:rPr>
                <w:rStyle w:val="VerbatimChar"/>
              </w:rPr>
              <w:t xml:space="preserve">/templates</w:t>
            </w:r>
          </w:p>
        </w:tc>
        <w:tc>
          <w:tcPr/>
          <w:p>
            <w:pPr>
              <w:pStyle w:val="Compact"/>
            </w:pPr>
            <w:r>
              <w:t xml:space="preserve">Engagement Partner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9. Q&amp;A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All surfaces on demand</w:t>
            </w:r>
          </w:p>
        </w:tc>
        <w:tc>
          <w:tcPr/>
          <w:p>
            <w:pPr>
              <w:pStyle w:val="Compact"/>
            </w:pPr>
            <w:r>
              <w:t xml:space="preserve">Both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"/>
    <w:bookmarkStart w:id="21" w:name="block-by-block-detail"/>
    <w:p>
      <w:pPr>
        <w:pStyle w:val="Heading2"/>
      </w:pPr>
      <w:r>
        <w:t xml:space="preserve">Block-by-block detail</w:t>
      </w:r>
    </w:p>
    <w:bookmarkStart w:id="11" w:name="block-0-welcome-agenda-3-min"/>
    <w:p>
      <w:pPr>
        <w:pStyle w:val="Heading3"/>
      </w:pPr>
      <w:r>
        <w:t xml:space="preserve">Block 0 — Welcome + agenda (3 min)</w:t>
      </w:r>
    </w:p>
    <w:p>
      <w:pPr>
        <w:pStyle w:val="Compact"/>
        <w:numPr>
          <w:ilvl w:val="0"/>
          <w:numId w:val="1008"/>
        </w:numPr>
      </w:pPr>
      <w:r>
        <w:t xml:space="preserve">Thank candidate for the verification process; acknowledge time investment</w:t>
      </w:r>
    </w:p>
    <w:p>
      <w:pPr>
        <w:pStyle w:val="Compact"/>
        <w:numPr>
          <w:ilvl w:val="0"/>
          <w:numId w:val="1008"/>
        </w:numPr>
      </w:pPr>
      <w:r>
        <w:t xml:space="preserve">Confirm decision frame: at end of demo, candidate may proceed to MSA execution, defer, or decline; Interlegal will not pressure for same-day commitment</w:t>
      </w:r>
    </w:p>
    <w:p>
      <w:pPr>
        <w:pStyle w:val="Compact"/>
        <w:numPr>
          <w:ilvl w:val="0"/>
          <w:numId w:val="1008"/>
        </w:numPr>
      </w:pPr>
      <w:r>
        <w:t xml:space="preserve">Confirm recording consent</w:t>
      </w:r>
    </w:p>
    <w:bookmarkEnd w:id="11"/>
    <w:bookmarkStart w:id="12" w:name="block-1-service-overview-7-min-landing"/>
    <w:p>
      <w:pPr>
        <w:pStyle w:val="Heading3"/>
      </w:pPr>
      <w:r>
        <w:t xml:space="preserve">Block 1 — Service overview (7 min) —</w:t>
      </w:r>
      <w:r>
        <w:t xml:space="preserve"> </w:t>
      </w:r>
      <w:r>
        <w:rPr>
          <w:rStyle w:val="VerbatimChar"/>
        </w:rPr>
        <w:t xml:space="preserve">/</w:t>
      </w:r>
      <w:r>
        <w:t xml:space="preserve"> </w:t>
      </w:r>
      <w:r>
        <w:t xml:space="preserve">landing</w:t>
      </w:r>
    </w:p>
    <w:p>
      <w:pPr>
        <w:pStyle w:val="FirstParagraph"/>
      </w:pPr>
      <w:r>
        <w:rPr>
          <w:b/>
          <w:bCs/>
        </w:rPr>
        <w:t xml:space="preserve">Demonstrate:</w:t>
      </w:r>
      <w:r>
        <w:t xml:space="preserve"> </w:t>
      </w:r>
      <w:r>
        <w:t xml:space="preserve">- Hero positioning (</w:t>
      </w:r>
      <w:r>
        <w:t xml:space="preserve">“internal operating system Interlegal”</w:t>
      </w:r>
      <w:r>
        <w:t xml:space="preserve">) — note this is the framing for clients and reflects the system’s maturity story</w:t>
      </w:r>
      <w:r>
        <w:t xml:space="preserve"> </w:t>
      </w:r>
      <w:r>
        <w:t xml:space="preserve">- Service tiers cards: S0 / S1 / S2 / S2+ / S3 — point out price bands and what each covers</w:t>
      </w:r>
      <w:r>
        <w:t xml:space="preserve"> </w:t>
      </w:r>
      <w:r>
        <w:t xml:space="preserve">- 2026 reform note +</w:t>
      </w:r>
      <w:r>
        <w:t xml:space="preserve"> </w:t>
      </w:r>
      <w:r>
        <w:t xml:space="preserve">“до ~3%”</w:t>
      </w:r>
      <w:r>
        <w:t xml:space="preserve"> </w:t>
      </w:r>
      <w:r>
        <w:t xml:space="preserve">conditional disclaimer</w:t>
      </w:r>
    </w:p>
    <w:p>
      <w:pPr>
        <w:pStyle w:val="BodyText"/>
      </w:pPr>
      <w:r>
        <w:rPr>
          <w:b/>
          <w:bCs/>
        </w:rPr>
        <w:t xml:space="preserve">Speaking points:</w:t>
      </w:r>
      <w:r>
        <w:t xml:space="preserve"> </w:t>
      </w:r>
      <w:r>
        <w:t xml:space="preserve">-</w:t>
      </w:r>
      <w:r>
        <w:t xml:space="preserve"> </w:t>
      </w:r>
      <w:r>
        <w:t xml:space="preserve">“This landing reflects the system you’re seeing today. It’s not aspirational copy; every artefact a client could click is in</w:t>
      </w:r>
      <w:r>
        <w:t xml:space="preserve"> </w:t>
      </w:r>
      <w:r>
        <w:rPr>
          <w:rStyle w:val="VerbatimChar"/>
        </w:rPr>
        <w:t xml:space="preserve">/templates</w:t>
      </w:r>
      <w:r>
        <w:t xml:space="preserve">,</w:t>
      </w:r>
      <w:r>
        <w:t xml:space="preserve"> </w:t>
      </w:r>
      <w:r>
        <w:rPr>
          <w:rStyle w:val="VerbatimChar"/>
        </w:rPr>
        <w:t xml:space="preserve">/process</w:t>
      </w:r>
      <w:r>
        <w:t xml:space="preserve">,</w:t>
      </w:r>
      <w:r>
        <w:t xml:space="preserve"> </w:t>
      </w:r>
      <w:r>
        <w:rPr>
          <w:rStyle w:val="VerbatimChar"/>
        </w:rPr>
        <w:t xml:space="preserve">/learn</w:t>
      </w:r>
      <w:r>
        <w:t xml:space="preserve">.”</w:t>
      </w:r>
      <w:r>
        <w:t xml:space="preserve"> </w:t>
      </w:r>
      <w:r>
        <w:t xml:space="preserve">-</w:t>
      </w:r>
      <w:r>
        <w:t xml:space="preserve"> </w:t>
      </w:r>
      <w:r>
        <w:t xml:space="preserve">“S0 (Existing Company Diagnostic) exists because most prospects already have a Cyprus structure that needs Track B remediation, not Track A new-build.”</w:t>
      </w:r>
      <w:r>
        <w:t xml:space="preserve"> </w:t>
      </w:r>
      <w:r>
        <w:t xml:space="preserve">-</w:t>
      </w:r>
      <w:r>
        <w:t xml:space="preserve"> </w:t>
      </w:r>
      <w:r>
        <w:t xml:space="preserve">“S2 fee band reflects Interlegal-side scope; your fee is separate and per the SOW we’ll review in Block 8.”</w:t>
      </w:r>
    </w:p>
    <w:bookmarkEnd w:id="12"/>
    <w:bookmarkStart w:id="13" w:name="Xa0ea3d27accd58d411bd709ecffb15bcd7b6ef9"/>
    <w:p>
      <w:pPr>
        <w:pStyle w:val="Heading3"/>
      </w:pPr>
      <w:r>
        <w:t xml:space="preserve">Block 2 — Operating system tour (12 min) —</w:t>
      </w:r>
      <w:r>
        <w:t xml:space="preserve"> </w:t>
      </w:r>
      <w:r>
        <w:rPr>
          <w:rStyle w:val="VerbatimChar"/>
        </w:rPr>
        <w:t xml:space="preserve">/process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/home</w:t>
      </w:r>
    </w:p>
    <w:p>
      <w:pPr>
        <w:pStyle w:val="FirstParagraph"/>
      </w:pPr>
      <w:r>
        <w:rPr>
          <w:b/>
          <w:bCs/>
        </w:rPr>
        <w:t xml:space="preserve">Demonstrate: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/process</w:t>
      </w:r>
      <w:r>
        <w:t xml:space="preserve"> </w:t>
      </w:r>
      <w:r>
        <w:t xml:space="preserve">7-phase × 15-stage map (Phase 0 Track B + Phases 1–6); hover stages to surface owned role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/home</w:t>
      </w:r>
      <w:r>
        <w:t xml:space="preserve"> </w:t>
      </w:r>
      <w:r>
        <w:t xml:space="preserve">multi-matter overview + compliance calendar (M-0042 + M-0043 + M-0044 placeholder visible)</w:t>
      </w:r>
    </w:p>
    <w:p>
      <w:pPr>
        <w:pStyle w:val="BodyText"/>
      </w:pPr>
      <w:r>
        <w:rPr>
          <w:b/>
          <w:bCs/>
        </w:rPr>
        <w:t xml:space="preserve">Speaking points:</w:t>
      </w:r>
      <w:r>
        <w:t xml:space="preserve"> </w:t>
      </w:r>
      <w:r>
        <w:t xml:space="preserve">-</w:t>
      </w:r>
      <w:r>
        <w:t xml:space="preserve"> </w:t>
      </w:r>
      <w:r>
        <w:t xml:space="preserve">“Each stage names the owning role. The Cyprus partner appears on phases 3–6 across audit, tax, corporate, legal swimlanes.”</w:t>
      </w:r>
      <w:r>
        <w:t xml:space="preserve"> </w:t>
      </w:r>
      <w:r>
        <w:t xml:space="preserve">-</w:t>
      </w:r>
      <w:r>
        <w:t xml:space="preserve"> </w:t>
      </w:r>
      <w:r>
        <w:t xml:space="preserve">“Compliance calendar pulls from per-matter SOW deadlines and statutory dates. You’ll see your sign-offs as rows here once we onboard a real matter.”</w:t>
      </w:r>
      <w:r>
        <w:t xml:space="preserve"> </w:t>
      </w:r>
      <w:r>
        <w:t xml:space="preserve">-</w:t>
      </w:r>
      <w:r>
        <w:t xml:space="preserve"> </w:t>
      </w:r>
      <w:r>
        <w:t xml:space="preserve">“Phase 0 Track B is the Existing-Company Diagnostic flow added per ADR-007; it’s how matters that arrive with prior structures get triaged.”</w:t>
      </w:r>
    </w:p>
    <w:bookmarkEnd w:id="13"/>
    <w:bookmarkStart w:id="14" w:name="Xb886374e7c616458edaf87e9686a7ec3922862c"/>
    <w:p>
      <w:pPr>
        <w:pStyle w:val="Heading3"/>
      </w:pPr>
      <w:r>
        <w:t xml:space="preserve">Block 3 — Engine + calculator (10 min) —</w:t>
      </w:r>
      <w:r>
        <w:t xml:space="preserve"> </w:t>
      </w:r>
      <w:r>
        <w:rPr>
          <w:rStyle w:val="VerbatimChar"/>
        </w:rPr>
        <w:t xml:space="preserve">/calculator</w:t>
      </w:r>
      <w:r>
        <w:t xml:space="preserve"> </w:t>
      </w:r>
      <w:r>
        <w:t xml:space="preserve">+ pytest</w:t>
      </w:r>
    </w:p>
    <w:p>
      <w:pPr>
        <w:pStyle w:val="FirstParagraph"/>
      </w:pPr>
      <w:r>
        <w:rPr>
          <w:b/>
          <w:bCs/>
        </w:rPr>
        <w:t xml:space="preserve">Demonstrate: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/calculator</w:t>
      </w:r>
      <w:r>
        <w:t xml:space="preserve"> </w:t>
      </w:r>
      <w:r>
        <w:t xml:space="preserve">Mode 1 (precise nexus) — input a sample matter; show output schema (QP / QE / OE / nexus ratio / uplift)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/calculator</w:t>
      </w:r>
      <w:r>
        <w:t xml:space="preserve"> </w:t>
      </w:r>
      <w:r>
        <w:t xml:space="preserve">Mode 2 (10-question readiness scorer) — run through quickly; show 4 bands (CLAIM_READY → NEAR_READY → REMEDIATION → BLOCKED)</w:t>
      </w:r>
      <w:r>
        <w:t xml:space="preserve"> </w:t>
      </w:r>
      <w:r>
        <w:t xml:space="preserve">- Pytest console (Interlegal Senior shares) — show 89/89 passing line; explain HARD_BLOCKERS count + bands</w:t>
      </w:r>
    </w:p>
    <w:p>
      <w:pPr>
        <w:pStyle w:val="BodyText"/>
      </w:pPr>
      <w:r>
        <w:rPr>
          <w:b/>
          <w:bCs/>
        </w:rPr>
        <w:t xml:space="preserve">Speaking points (Senior leads):</w:t>
      </w:r>
      <w:r>
        <w:t xml:space="preserve"> </w:t>
      </w:r>
      <w:r>
        <w:t xml:space="preserve">-</w:t>
      </w:r>
      <w:r>
        <w:t xml:space="preserve"> </w:t>
      </w:r>
      <w:r>
        <w:t xml:space="preserve">“Engine is deterministic; the calculator is API-backed in production with local fallback. Same engine logic ships in Python (server) and JavaScript (browser), parity-tested at CI.”</w:t>
      </w:r>
      <w:r>
        <w:t xml:space="preserve"> </w:t>
      </w:r>
      <w:r>
        <w:t xml:space="preserve">-</w:t>
      </w:r>
      <w:r>
        <w:t xml:space="preserve"> </w:t>
      </w:r>
      <w:r>
        <w:t xml:space="preserve">“Mode 1 is precise; Mode 2 is screening. Mode 1 backs your G5 sign-off; Mode 2 helps you decline matters before they consume your hours.”</w:t>
      </w:r>
      <w:r>
        <w:t xml:space="preserve"> </w:t>
      </w:r>
      <w:r>
        <w:t xml:space="preserve">-</w:t>
      </w:r>
      <w:r>
        <w:t xml:space="preserve"> </w:t>
      </w:r>
      <w:r>
        <w:t xml:space="preserve">“9 HARD_BLOCKERS catch matters that can’t honestly claim IP Box — they fail loudly in the engine, not silently in the memo.”</w:t>
      </w:r>
    </w:p>
    <w:bookmarkEnd w:id="14"/>
    <w:bookmarkStart w:id="15" w:name="block-4-templates-corpus-8-min-templates"/>
    <w:p>
      <w:pPr>
        <w:pStyle w:val="Heading3"/>
      </w:pPr>
      <w:r>
        <w:t xml:space="preserve">Block 4 — Templates corpus (8 min) —</w:t>
      </w:r>
      <w:r>
        <w:t xml:space="preserve"> </w:t>
      </w:r>
      <w:r>
        <w:rPr>
          <w:rStyle w:val="VerbatimChar"/>
        </w:rPr>
        <w:t xml:space="preserve">/templates</w:t>
      </w:r>
    </w:p>
    <w:p>
      <w:pPr>
        <w:pStyle w:val="FirstParagraph"/>
      </w:pPr>
      <w:r>
        <w:rPr>
          <w:b/>
          <w:bCs/>
        </w:rPr>
        <w:t xml:space="preserve">Demonstrate:</w:t>
      </w:r>
      <w:r>
        <w:t xml:space="preserve"> </w:t>
      </w:r>
      <w:r>
        <w:t xml:space="preserve">- 19 templates listed; show tag filters (Phase / Role); demo opens T-01 (Engagement Letter) + T-09 (SOW) + T-19 (MSA) + T-06 (Annual Substance Memo)</w:t>
      </w:r>
    </w:p>
    <w:p>
      <w:pPr>
        <w:pStyle w:val="BodyText"/>
      </w:pPr>
      <w:r>
        <w:rPr>
          <w:b/>
          <w:bCs/>
        </w:rPr>
        <w:t xml:space="preserve">Speaking points:</w:t>
      </w:r>
      <w:r>
        <w:t xml:space="preserve"> </w:t>
      </w:r>
      <w:r>
        <w:t xml:space="preserve">-</w:t>
      </w:r>
      <w:r>
        <w:t xml:space="preserve"> </w:t>
      </w:r>
      <w:r>
        <w:t xml:space="preserve">“Every artefact a matter produces is a template here. No</w:t>
      </w:r>
      <w:r>
        <w:t xml:space="preserve"> </w:t>
      </w:r>
      <w:r>
        <w:t xml:space="preserve">‘we’ll write it when needed’</w:t>
      </w:r>
      <w:r>
        <w:t xml:space="preserve"> </w:t>
      </w:r>
      <w:r>
        <w:t xml:space="preserve">surprises.”</w:t>
      </w:r>
      <w:r>
        <w:t xml:space="preserve"> </w:t>
      </w:r>
      <w:r>
        <w:t xml:space="preserve">-</w:t>
      </w:r>
      <w:r>
        <w:t xml:space="preserve"> </w:t>
      </w:r>
      <w:r>
        <w:t xml:space="preserve">“T-09 SOW is the template you’d countersign per matter. T-19 MSA is the umbrella you’d countersign once. We’ll walk through both in Block 8.”</w:t>
      </w:r>
      <w:r>
        <w:t xml:space="preserve"> </w:t>
      </w:r>
      <w:r>
        <w:t xml:space="preserve">-</w:t>
      </w:r>
      <w:r>
        <w:t xml:space="preserve"> </w:t>
      </w:r>
      <w:r>
        <w:t xml:space="preserve">“Templates are markdown source + built</w:t>
      </w:r>
      <w:r>
        <w:t xml:space="preserve"> </w:t>
      </w:r>
      <w:r>
        <w:rPr>
          <w:rStyle w:val="VerbatimChar"/>
        </w:rPr>
        <w:t xml:space="preserve">.docx</w:t>
      </w:r>
      <w:r>
        <w:t xml:space="preserve"> </w:t>
      </w:r>
      <w:r>
        <w:t xml:space="preserve">mirrors. Mirrors regenerate from source via</w:t>
      </w:r>
      <w:r>
        <w:t xml:space="preserve"> </w:t>
      </w:r>
      <w:r>
        <w:rPr>
          <w:rStyle w:val="VerbatimChar"/>
        </w:rPr>
        <w:t xml:space="preserve">scripts/build-docx.sh</w:t>
      </w:r>
      <w:r>
        <w:t xml:space="preserve">; pre-export validator gates any</w:t>
      </w:r>
      <w:r>
        <w:t xml:space="preserve"> </w:t>
      </w:r>
      <w:r>
        <w:rPr>
          <w:rStyle w:val="VerbatimChar"/>
        </w:rPr>
        <w:t xml:space="preserve">status: FINAL</w:t>
      </w:r>
      <w:r>
        <w:t xml:space="preserve"> </w:t>
      </w:r>
      <w:r>
        <w:t xml:space="preserve">doc with unfilled placeholders.”</w:t>
      </w:r>
    </w:p>
    <w:bookmarkEnd w:id="15"/>
    <w:bookmarkStart w:id="16" w:name="X7de9c570a8998e8276953bd21ae612d283f2ca9"/>
    <w:p>
      <w:pPr>
        <w:pStyle w:val="Heading3"/>
      </w:pPr>
      <w:r>
        <w:t xml:space="preserve">Block 5 — Happy-path matter walkthrough (10 min) —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 </w:t>
      </w:r>
      <w:r>
        <w:t xml:space="preserve">cockpit + M-0042</w:t>
      </w:r>
    </w:p>
    <w:p>
      <w:pPr>
        <w:pStyle w:val="FirstParagraph"/>
      </w:pPr>
      <w:r>
        <w:rPr>
          <w:b/>
          <w:bCs/>
        </w:rPr>
        <w:t xml:space="preserve">Demonstrate (Senior leads):</w:t>
      </w:r>
      <w:r>
        <w:t xml:space="preserve"> </w:t>
      </w:r>
      <w:r>
        <w:t xml:space="preserve">- Open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 </w:t>
      </w:r>
      <w:r>
        <w:t xml:space="preserve">cockpit; select M-0042 MetaSaaS (Track A synthetic)</w:t>
      </w:r>
      <w:r>
        <w:t xml:space="preserve"> </w:t>
      </w:r>
      <w:r>
        <w:t xml:space="preserve">- Show 7-row G0–G6 gate panel with SLA bands</w:t>
      </w:r>
      <w:r>
        <w:t xml:space="preserve"> </w:t>
      </w:r>
      <w:r>
        <w:t xml:space="preserve">- Open</w:t>
      </w:r>
      <w:r>
        <w:t xml:space="preserve"> </w:t>
      </w:r>
      <w:r>
        <w:rPr>
          <w:rStyle w:val="VerbatimChar"/>
        </w:rPr>
        <w:t xml:space="preserve">docs/synthetic/M-0042-metasaas/13-ip-income-allocation-memo.md</w:t>
      </w:r>
      <w:r>
        <w:t xml:space="preserve"> </w:t>
      </w:r>
      <w:r>
        <w:t xml:space="preserve">— IP income allocation memo; cost-plus residual</w:t>
      </w:r>
      <w:r>
        <w:t xml:space="preserve"> </w:t>
      </w:r>
      <w:r>
        <w:t xml:space="preserve">@8</w:t>
      </w:r>
      <w:r>
        <w:t xml:space="preserve">%</w:t>
      </w:r>
      <w:r>
        <w:t xml:space="preserve"> </w:t>
      </w:r>
      <w:r>
        <w:t xml:space="preserve">- Open</w:t>
      </w:r>
      <w:r>
        <w:t xml:space="preserve"> </w:t>
      </w:r>
      <w:r>
        <w:rPr>
          <w:rStyle w:val="VerbatimChar"/>
        </w:rPr>
        <w:t xml:space="preserve">docs/synthetic/M-0042-metasaas/05-advance-tax-ruling-application.md</w:t>
      </w:r>
      <w:r>
        <w:t xml:space="preserve"> </w:t>
      </w:r>
      <w:r>
        <w:t xml:space="preserve">— ruling app structure (you would sign this)</w:t>
      </w:r>
      <w:r>
        <w:t xml:space="preserve"> </w:t>
      </w:r>
      <w:r>
        <w:t xml:space="preserve">- Open</w:t>
      </w:r>
      <w:r>
        <w:t xml:space="preserve"> </w:t>
      </w:r>
      <w:r>
        <w:rPr>
          <w:rStyle w:val="VerbatimChar"/>
        </w:rPr>
        <w:t xml:space="preserve">docs/synthetic/M-0042-metasaas/06-substance-memo-annual.md</w:t>
      </w:r>
      <w:r>
        <w:t xml:space="preserve"> </w:t>
      </w:r>
      <w:r>
        <w:t xml:space="preserve">— annual substance memo (G5 sign-off lives here)</w:t>
      </w:r>
      <w:r>
        <w:t xml:space="preserve"> </w:t>
      </w:r>
      <w:r>
        <w:t xml:space="preserve">- Show evidence pack handoff at</w:t>
      </w:r>
      <w:r>
        <w:t xml:space="preserve"> </w:t>
      </w:r>
      <w:r>
        <w:rPr>
          <w:rStyle w:val="VerbatimChar"/>
        </w:rPr>
        <w:t xml:space="preserve">12-substance-evidence-photo-log.md</w:t>
      </w:r>
    </w:p>
    <w:p>
      <w:pPr>
        <w:pStyle w:val="BodyText"/>
      </w:pPr>
      <w:r>
        <w:rPr>
          <w:b/>
          <w:bCs/>
        </w:rPr>
        <w:t xml:space="preserve">Speaking points:</w:t>
      </w:r>
      <w:r>
        <w:t xml:space="preserve"> </w:t>
      </w:r>
      <w:r>
        <w:t xml:space="preserve">-</w:t>
      </w:r>
      <w:r>
        <w:t xml:space="preserve"> </w:t>
      </w:r>
      <w:r>
        <w:t xml:space="preserve">“M-0042 is the</w:t>
      </w:r>
      <w:r>
        <w:t xml:space="preserve"> </w:t>
      </w:r>
      <w:r>
        <w:t xml:space="preserve">‘everything goes well’</w:t>
      </w:r>
      <w:r>
        <w:t xml:space="preserve"> </w:t>
      </w:r>
      <w:r>
        <w:t xml:space="preserve">reference matter. It’s synthetic — no real client data — but every document is the size and shape of a real one.”</w:t>
      </w:r>
      <w:r>
        <w:t xml:space="preserve"> </w:t>
      </w:r>
      <w:r>
        <w:t xml:space="preserve">-</w:t>
      </w:r>
      <w:r>
        <w:t xml:space="preserve"> </w:t>
      </w:r>
      <w:r>
        <w:t xml:space="preserve">“Trace your G5 path: when ruling app reaches you (Bar member), what evidence pack lives in the matter folder? When substance memo reaches you (tax advisor + audit), what financial-statement reconciliation is attached?”</w:t>
      </w:r>
      <w:r>
        <w:t xml:space="preserve"> </w:t>
      </w:r>
      <w:r>
        <w:t xml:space="preserve">-</w:t>
      </w:r>
      <w:r>
        <w:t xml:space="preserve"> </w:t>
      </w:r>
      <w:r>
        <w:t xml:space="preserve">“Stage-checklist tab gates progress — a stage can’t advance to done until 100% of its checks pass. This is the protection against accidentally pushing a matter forward when an evidence row is missing.”</w:t>
      </w:r>
    </w:p>
    <w:bookmarkEnd w:id="16"/>
    <w:bookmarkStart w:id="17" w:name="X262d42d60f05c007f7ba4fa5ace1b0477886561"/>
    <w:p>
      <w:pPr>
        <w:pStyle w:val="Heading3"/>
      </w:pPr>
      <w:r>
        <w:t xml:space="preserve">Block 6 — Problem-state matter walkthrough (7 min) —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 </w:t>
      </w:r>
      <w:r>
        <w:t xml:space="preserve">+ M-0043</w:t>
      </w:r>
    </w:p>
    <w:p>
      <w:pPr>
        <w:pStyle w:val="FirstParagraph"/>
      </w:pPr>
      <w:r>
        <w:rPr>
          <w:b/>
          <w:bCs/>
        </w:rPr>
        <w:t xml:space="preserve">Demonstrate (Senior leads):</w:t>
      </w:r>
      <w:r>
        <w:t xml:space="preserve"> </w:t>
      </w:r>
      <w:r>
        <w:t xml:space="preserve">- Switch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 </w:t>
      </w:r>
      <w:r>
        <w:t xml:space="preserve">cockpit to M-0043 DataLabs (problem-state synthetic)</w:t>
      </w:r>
      <w:r>
        <w:t xml:space="preserve"> </w:t>
      </w:r>
      <w:r>
        <w:t xml:space="preserve">- Show HB-6 ACTIVE banner on engine output</w:t>
      </w:r>
      <w:r>
        <w:t xml:space="preserve"> </w:t>
      </w:r>
      <w:r>
        <w:t xml:space="preserve">- Open</w:t>
      </w:r>
      <w:r>
        <w:t xml:space="preserve"> </w:t>
      </w:r>
      <w:r>
        <w:rPr>
          <w:rStyle w:val="VerbatimChar"/>
        </w:rPr>
        <w:t xml:space="preserve">docs/synthetic/M-0043-datalabs/06-transfer-pricing-risk-memo.md</w:t>
      </w:r>
      <w:r>
        <w:t xml:space="preserve"> </w:t>
      </w:r>
      <w:r>
        <w:t xml:space="preserve">— TP HB-6 active; G5 sign-off blocked until remediation</w:t>
      </w:r>
      <w:r>
        <w:t xml:space="preserve"> </w:t>
      </w:r>
      <w:r>
        <w:t xml:space="preserve">- Open</w:t>
      </w:r>
      <w:r>
        <w:t xml:space="preserve"> </w:t>
      </w:r>
      <w:r>
        <w:rPr>
          <w:rStyle w:val="VerbatimChar"/>
        </w:rPr>
        <w:t xml:space="preserve">docs/synthetic/M-0043-datalabs/07-existing-company-diagnostic.md</w:t>
      </w:r>
      <w:r>
        <w:t xml:space="preserve"> </w:t>
      </w:r>
      <w:r>
        <w:t xml:space="preserve">— AMBER verdict + S0.5 remediation backlog</w:t>
      </w:r>
      <w:r>
        <w:t xml:space="preserve"> </w:t>
      </w:r>
      <w:r>
        <w:t xml:space="preserve">- Open</w:t>
      </w:r>
      <w:r>
        <w:t xml:space="preserve"> </w:t>
      </w:r>
      <w:r>
        <w:rPr>
          <w:rStyle w:val="VerbatimChar"/>
        </w:rPr>
        <w:t xml:space="preserve">docs/synthetic/M-0043-datalabs/05-status-email-month-3-CRITICAL.md</w:t>
      </w:r>
      <w:r>
        <w:t xml:space="preserve"> </w:t>
      </w:r>
      <w:r>
        <w:t xml:space="preserve">— how Interlegal escalates to client</w:t>
      </w:r>
    </w:p>
    <w:p>
      <w:pPr>
        <w:pStyle w:val="BodyText"/>
      </w:pPr>
      <w:r>
        <w:rPr>
          <w:b/>
          <w:bCs/>
        </w:rPr>
        <w:t xml:space="preserve">Speaking points:</w:t>
      </w:r>
      <w:r>
        <w:t xml:space="preserve"> </w:t>
      </w:r>
      <w:r>
        <w:t xml:space="preserve">-</w:t>
      </w:r>
      <w:r>
        <w:t xml:space="preserve"> </w:t>
      </w:r>
      <w:r>
        <w:t xml:space="preserve">“M-0043 is deliberately problematic. It exists so your team and ours practise the</w:t>
      </w:r>
      <w:r>
        <w:t xml:space="preserve"> </w:t>
      </w:r>
      <w:r>
        <w:t xml:space="preserve">‘no honest IP Box claim today’</w:t>
      </w:r>
      <w:r>
        <w:t xml:space="preserve"> </w:t>
      </w:r>
      <w:r>
        <w:t xml:space="preserve">conversation</w:t>
      </w:r>
      <w:r>
        <w:t xml:space="preserve"> </w:t>
      </w:r>
      <w:r>
        <w:rPr>
          <w:b/>
          <w:bCs/>
        </w:rPr>
        <w:t xml:space="preserve">before</w:t>
      </w:r>
      <w:r>
        <w:t xml:space="preserve"> </w:t>
      </w:r>
      <w:r>
        <w:t xml:space="preserve">it happens with a real client.”</w:t>
      </w:r>
      <w:r>
        <w:t xml:space="preserve"> </w:t>
      </w:r>
      <w:r>
        <w:t xml:space="preserve">-</w:t>
      </w:r>
      <w:r>
        <w:t xml:space="preserve"> </w:t>
      </w:r>
      <w:r>
        <w:t xml:space="preserve">“Note how the engine refuses to produce CLAIM_READY output while HB-6 is active. You don’t have to be the bad-news messenger — the engine is.”</w:t>
      </w:r>
      <w:r>
        <w:t xml:space="preserve"> </w:t>
      </w:r>
      <w:r>
        <w:t xml:space="preserve">-</w:t>
      </w:r>
      <w:r>
        <w:t xml:space="preserve"> </w:t>
      </w:r>
      <w:r>
        <w:t xml:space="preserve">“The CRITICAL client email shows our tone for escalation. We’d run any of these past you before sending in a real matter.”</w:t>
      </w:r>
    </w:p>
    <w:bookmarkEnd w:id="17"/>
    <w:bookmarkStart w:id="18" w:name="Xc1a91f52c98c18677315a67d44ec88ac1c2379e"/>
    <w:p>
      <w:pPr>
        <w:pStyle w:val="Heading3"/>
      </w:pPr>
      <w:r>
        <w:t xml:space="preserve">Block 7 — Partner ownership story (8 min) — ADR-006 +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 </w:t>
      </w:r>
      <w:r>
        <w:t xml:space="preserve">Cyprus Partner Verification panel</w:t>
      </w:r>
    </w:p>
    <w:p>
      <w:pPr>
        <w:pStyle w:val="FirstParagraph"/>
      </w:pPr>
      <w:r>
        <w:rPr>
          <w:b/>
          <w:bCs/>
        </w:rPr>
        <w:t xml:space="preserve">Demonstrate:</w:t>
      </w:r>
      <w:r>
        <w:t xml:space="preserve"> </w:t>
      </w:r>
      <w:r>
        <w:t xml:space="preserve">- Open</w:t>
      </w:r>
      <w:r>
        <w:t xml:space="preserve"> </w:t>
      </w:r>
      <w:r>
        <w:rPr>
          <w:rStyle w:val="VerbatimChar"/>
        </w:rPr>
        <w:t xml:space="preserve">decisions/006-cyprus-contractor-strategy.md</w:t>
      </w:r>
      <w:r>
        <w:t xml:space="preserve"> </w:t>
      </w:r>
      <w:r>
        <w:t xml:space="preserve">— surface the</w:t>
      </w:r>
      <w:r>
        <w:t xml:space="preserve"> </w:t>
      </w:r>
      <w:r>
        <w:rPr>
          <w:b/>
          <w:bCs/>
        </w:rPr>
        <w:t xml:space="preserve">ownership matrix</w:t>
      </w:r>
      <w:r>
        <w:t xml:space="preserve"> </w:t>
      </w:r>
      <w:r>
        <w:t xml:space="preserve">(24-row table); scroll through</w:t>
      </w:r>
      <w:r>
        <w:t xml:space="preserve"> </w:t>
      </w:r>
      <w:r>
        <w:t xml:space="preserve">- Open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 </w:t>
      </w:r>
      <w:r>
        <w:t xml:space="preserve">Cyprus Partner Verification panel — show your firm’s record with 11 items in their verified states + intro call record + reference outcomes</w:t>
      </w:r>
      <w:r>
        <w:t xml:space="preserve"> </w:t>
      </w:r>
      <w:r>
        <w:t xml:space="preserve">- Show ADR-006 §</w:t>
      </w:r>
      <w:r>
        <w:t xml:space="preserve">“Engaged partner”</w:t>
      </w:r>
      <w:r>
        <w:t xml:space="preserve"> </w:t>
      </w:r>
      <w:r>
        <w:t xml:space="preserve">snapshot table that will be amended once MSA signs</w:t>
      </w:r>
    </w:p>
    <w:p>
      <w:pPr>
        <w:pStyle w:val="BodyText"/>
      </w:pPr>
      <w:r>
        <w:rPr>
          <w:b/>
          <w:bCs/>
        </w:rPr>
        <w:t xml:space="preserve">Speaking points:</w:t>
      </w:r>
      <w:r>
        <w:t xml:space="preserve"> </w:t>
      </w:r>
      <w:r>
        <w:t xml:space="preserve">-</w:t>
      </w:r>
      <w:r>
        <w:t xml:space="preserve"> </w:t>
      </w:r>
      <w:r>
        <w:t xml:space="preserve">“Ownership matrix is the heart of the relationship. Not 70/30 split — it’s row-by-row, who-owns-the-professional-position. You’ll see your sign-block on memos and rulings; we’ll see ours on the commercial and structural.”</w:t>
      </w:r>
      <w:r>
        <w:t xml:space="preserve"> </w:t>
      </w:r>
      <w:r>
        <w:t xml:space="preserve">-</w:t>
      </w:r>
      <w:r>
        <w:t xml:space="preserve"> </w:t>
      </w:r>
      <w:r>
        <w:t xml:space="preserve">“Joint sign-off workstreams (GAAR, Nexus) are explicit — neither side rubber-stamps.”</w:t>
      </w:r>
      <w:r>
        <w:t xml:space="preserve"> </w:t>
      </w:r>
      <w:r>
        <w:t xml:space="preserve">-</w:t>
      </w:r>
      <w:r>
        <w:t xml:space="preserve"> </w:t>
      </w:r>
      <w:r>
        <w:t xml:space="preserve">“Your verification panel is the live record of how we got here. Once MSA signs, your record advances to</w:t>
      </w:r>
      <w:r>
        <w:t xml:space="preserve"> </w:t>
      </w:r>
      <w:r>
        <w:rPr>
          <w:rStyle w:val="VerbatimChar"/>
        </w:rPr>
        <w:t xml:space="preserve">MSA_SIGNED</w:t>
      </w:r>
      <w:r>
        <w:t xml:space="preserve"> </w:t>
      </w:r>
      <w:r>
        <w:t xml:space="preserve">and a snapshot lands in ADR-006.”</w:t>
      </w:r>
      <w:r>
        <w:t xml:space="preserve"> </w:t>
      </w:r>
      <w:r>
        <w:t xml:space="preserve">-</w:t>
      </w:r>
      <w:r>
        <w:t xml:space="preserve"> </w:t>
      </w:r>
      <w:r>
        <w:t xml:space="preserve">“Partner-agnostic invariant: no firm name lives in engine, templates, or training. Your firm’s name appears in the SOW, the matter cockpit, and the ADR snapshot — never in the core IP.”</w:t>
      </w:r>
    </w:p>
    <w:bookmarkEnd w:id="18"/>
    <w:bookmarkStart w:id="19" w:name="Xf46f495dd5c42b62ce53df88ff446aa315f4635"/>
    <w:p>
      <w:pPr>
        <w:pStyle w:val="Heading3"/>
      </w:pPr>
      <w:r>
        <w:t xml:space="preserve">Block 8 — The MSA + SOW you’d sign (8 min) — T-19 + T-09</w:t>
      </w:r>
    </w:p>
    <w:p>
      <w:pPr>
        <w:pStyle w:val="FirstParagraph"/>
      </w:pPr>
      <w:r>
        <w:rPr>
          <w:b/>
          <w:bCs/>
        </w:rPr>
        <w:t xml:space="preserve">Demonstrate:</w:t>
      </w:r>
      <w:r>
        <w:t xml:space="preserve"> </w:t>
      </w:r>
      <w:r>
        <w:t xml:space="preserve">- Open T-19 (</w:t>
      </w:r>
      <w:r>
        <w:rPr>
          <w:rStyle w:val="VerbatimChar"/>
        </w:rPr>
        <w:t xml:space="preserve">docs/templates/19-master-services-agreement.md</w:t>
      </w:r>
      <w:r>
        <w:t xml:space="preserve">) — walk § 3 (11 warranties), § 4.5 (versioning rule), § 6 (exclusivity), § 8 (backup partner), § 12 (liability + insurance), § 13 (termination + off-boarding)</w:t>
      </w:r>
      <w:r>
        <w:t xml:space="preserve"> </w:t>
      </w:r>
      <w:r>
        <w:t xml:space="preserve">- Open T-09 (</w:t>
      </w:r>
      <w:r>
        <w:rPr>
          <w:rStyle w:val="VerbatimChar"/>
        </w:rPr>
        <w:t xml:space="preserve">docs/templates/09-cyprus-partner-sow.md</w:t>
      </w:r>
      <w:r>
        <w:t xml:space="preserve">) — walk § 3 Variant A / Variant B selection, § 4 fees, § 5 SLAs, § 10 liability</w:t>
      </w:r>
    </w:p>
    <w:p>
      <w:pPr>
        <w:pStyle w:val="BodyText"/>
      </w:pPr>
      <w:r>
        <w:rPr>
          <w:b/>
          <w:bCs/>
        </w:rPr>
        <w:t xml:space="preserve">Speaking points:</w:t>
      </w:r>
      <w:r>
        <w:t xml:space="preserve"> </w:t>
      </w:r>
      <w:r>
        <w:t xml:space="preserve">-</w:t>
      </w:r>
      <w:r>
        <w:t xml:space="preserve"> </w:t>
      </w:r>
      <w:r>
        <w:t xml:space="preserve">“MSA is the umbrella. You sign it once. Subsequent matters reuse it; per-matter scope/fee/SLA live in each SOW.”</w:t>
      </w:r>
      <w:r>
        <w:t xml:space="preserve"> </w:t>
      </w:r>
      <w:r>
        <w:t xml:space="preserve">-</w:t>
      </w:r>
      <w:r>
        <w:t xml:space="preserve"> </w:t>
      </w:r>
      <w:r>
        <w:t xml:space="preserve">“11 warranties at MSA §3 are not point-in-time — they’re continuing reps. Each year you countersign Annex 5 re-attestation. Material degradation triggers a 10-business-day notice + 30-day cure window.”</w:t>
      </w:r>
      <w:r>
        <w:t xml:space="preserve"> </w:t>
      </w:r>
      <w:r>
        <w:t xml:space="preserve">-</w:t>
      </w:r>
      <w:r>
        <w:t xml:space="preserve"> </w:t>
      </w:r>
      <w:r>
        <w:t xml:space="preserve">“ADR-006 versioning rule (§4.5) means we don’t unilaterally change the operating philosophy on you. Material change → MSA amendment within 30 days → if you refuse to sign, that’s a §13 termination ground but in good-faith we’re going to negotiate, not legalese-fight.”</w:t>
      </w:r>
      <w:r>
        <w:t xml:space="preserve"> </w:t>
      </w:r>
      <w:r>
        <w:t xml:space="preserve">-</w:t>
      </w:r>
      <w:r>
        <w:t xml:space="preserve"> </w:t>
      </w:r>
      <w:r>
        <w:t xml:space="preserve">“18-month bidirectional exclusivity on UA-origin clients. Backup-partner regime exists — not a betrayal, it’s risk-mitigation we both want.”</w:t>
      </w:r>
      <w:r>
        <w:t xml:space="preserve"> </w:t>
      </w:r>
      <w:r>
        <w:t xml:space="preserve">-</w:t>
      </w:r>
      <w:r>
        <w:t xml:space="preserve"> </w:t>
      </w:r>
      <w:r>
        <w:t xml:space="preserve">“Default execution path: sign MSA first, then SOW v1 immediately after. Alternative single-SOW path is available for first-engagement if you prefer to defer the umbrella; in that case the MSA clauses are imported inline per T-09 §2.2.”</w:t>
      </w:r>
    </w:p>
    <w:bookmarkEnd w:id="19"/>
    <w:bookmarkStart w:id="20" w:name="block-9-qa-15-min"/>
    <w:p>
      <w:pPr>
        <w:pStyle w:val="Heading3"/>
      </w:pPr>
      <w:r>
        <w:t xml:space="preserve">Block 9 — Q&amp;A (15 min)</w:t>
      </w:r>
    </w:p>
    <w:p>
      <w:pPr>
        <w:pStyle w:val="FirstParagraph"/>
      </w:pPr>
      <w:r>
        <w:t xml:space="preserve">Likely questions (prepare answers; if unsure, do not improvise — defer with</w:t>
      </w:r>
      <w:r>
        <w:t xml:space="preserve"> </w:t>
      </w:r>
      <w:r>
        <w:t xml:space="preserve">“I’ll come back to you on this within 24 hours”</w:t>
      </w:r>
      <w:r>
        <w:t xml:space="preserve"> </w:t>
      </w:r>
      <w:r>
        <w:t xml:space="preserve">and log in</w:t>
      </w:r>
      <w:r>
        <w:t xml:space="preserve"> </w:t>
      </w:r>
      <w:r>
        <w:rPr>
          <w:rStyle w:val="VerbatimChar"/>
        </w:rPr>
        <w:t xml:space="preserve">/Interlegal — Cyprus IP Box/Partners/&lt;candidate&gt;/demo-questions-YYYY-MM-DD.md</w:t>
      </w:r>
      <w:r>
        <w:t xml:space="preserve">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Question theme</w:t>
            </w:r>
          </w:p>
        </w:tc>
        <w:tc>
          <w:tcPr/>
          <w:p>
            <w:pPr>
              <w:pStyle w:val="Compact"/>
            </w:pPr>
            <w:r>
              <w:t xml:space="preserve">Pre-prepared response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“What’s your client pipeline this year?”</w:t>
            </w:r>
          </w:p>
        </w:tc>
        <w:tc>
          <w:tcPr/>
          <w:p>
            <w:pPr>
              <w:pStyle w:val="Compact"/>
            </w:pPr>
            <w:r>
              <w:t xml:space="preserve">Honest count; reference [[GOALS]] forward-looking band; do not over-promise volume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“How do we get paid?”</w:t>
            </w:r>
          </w:p>
        </w:tc>
        <w:tc>
          <w:tcPr/>
          <w:p>
            <w:pPr>
              <w:pStyle w:val="Compact"/>
            </w:pPr>
            <w:r>
              <w:t xml:space="preserve">MSA §5 + SOW §4 — monthly arrears, 30-day net, withholding handled per Cyprus law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“PII insurer requirement is EUR X — can we provide evidence from Y insurer?”</w:t>
            </w:r>
          </w:p>
        </w:tc>
        <w:tc>
          <w:tcPr/>
          <w:p>
            <w:pPr>
              <w:pStyle w:val="Compact"/>
            </w:pPr>
            <w:r>
              <w:t xml:space="preserve">Confirm Cyprus-authorised; if Y is non-Cyprus, refer to MSA §12.3 wording (Cyprus-authorised) and discuss substitute carrier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“What if we disagree with Interlegal at G5?”</w:t>
            </w:r>
          </w:p>
        </w:tc>
        <w:tc>
          <w:tcPr/>
          <w:p>
            <w:pPr>
              <w:pStyle w:val="Compact"/>
            </w:pPr>
            <w:r>
              <w:t xml:space="preserve">Trek 05 §2.4 + this manifest Block 7 — document, escalate to weekly cadence, then monthly, then G6; never silently sign-off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“What happens if your engine returns a wrong number?”</w:t>
            </w:r>
          </w:p>
        </w:tc>
        <w:tc>
          <w:tcPr/>
          <w:p>
            <w:pPr>
              <w:pStyle w:val="Compact"/>
            </w:pPr>
            <w:r>
              <w:t xml:space="preserve">Engine version + pytest output + parity test; if matter cockpit shows engine output you disagree with, pause sign-off + flag engine maintainer; we treat engine bugs as P0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“Backup partner — who is it, and what does that mean for our relationship?”</w:t>
            </w:r>
          </w:p>
        </w:tc>
        <w:tc>
          <w:tcPr/>
          <w:p>
            <w:pPr>
              <w:pStyle w:val="Compact"/>
            </w:pPr>
            <w:r>
              <w:t xml:space="preserve">MSA §8 — Backup is identified by Interlegal within 90 days; warmed via NDA + DPA only; activated only on §8.4 triggers; new matters route there, your live SOWs continue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“Termination for convenience — 180 days seems long”</w:t>
            </w:r>
          </w:p>
        </w:tc>
        <w:tc>
          <w:tcPr/>
          <w:p>
            <w:pPr>
              <w:pStyle w:val="Compact"/>
            </w:pPr>
            <w:r>
              <w:t xml:space="preserve">Negotiable in your SOW Annex if you prefer 90 days for a specific matter; MSA umbrella stays at 180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“Office 365 access?”</w:t>
            </w:r>
          </w:p>
        </w:tc>
        <w:tc>
          <w:tcPr/>
          <w:p>
            <w:pPr>
              <w:pStyle w:val="Compact"/>
            </w:pPr>
            <w:r>
              <w:t xml:space="preserve">Granted per partner folder; we issue access on MSA execution; Constellation B affiliates get sub-folder access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“Can we propose changes to T-19?”</w:t>
            </w:r>
          </w:p>
        </w:tc>
        <w:tc>
          <w:tcPr/>
          <w:p>
            <w:pPr>
              <w:pStyle w:val="Compact"/>
            </w:pPr>
            <w:r>
              <w:t xml:space="preserve">Yes within reason; substantial changes route through ADR-006 amendment cycle if they affect the operating philosophy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End w:id="21"/>
    <w:bookmarkStart w:id="22" w:name="post-demo-follow-up-t0-to-t5-bd"/>
    <w:p>
      <w:pPr>
        <w:pStyle w:val="Heading2"/>
      </w:pPr>
      <w:r>
        <w:t xml:space="preserve">Post-demo follow-up (T+0 to T+5 b/d)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T+0</w:t>
      </w:r>
      <w:r>
        <w:t xml:space="preserve"> </w:t>
      </w:r>
      <w:r>
        <w:t xml:space="preserve">— Demo notes captured in</w:t>
      </w:r>
      <w:r>
        <w:t xml:space="preserve"> </w:t>
      </w:r>
      <w:r>
        <w:rPr>
          <w:rStyle w:val="VerbatimChar"/>
        </w:rPr>
        <w:t xml:space="preserve">/Interlegal — Cyprus IP Box/Partners/&lt;candidate&gt;/demo-notes-YYYY-MM-DD.md</w:t>
      </w:r>
      <w:r>
        <w:t xml:space="preserve">; outstanding questions logged separately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T+1 b/d</w:t>
      </w:r>
      <w:r>
        <w:t xml:space="preserve"> </w:t>
      </w:r>
      <w:r>
        <w:t xml:space="preserve">— Thank-you note to candidate principal; attach demo recording link (if recorded)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T+1 b/d</w:t>
      </w:r>
      <w:r>
        <w:t xml:space="preserve"> </w:t>
      </w:r>
      <w:r>
        <w:t xml:space="preserve">— Internal debrief Interlegal Engagement Partner ↔ Senior — what worked / what surprised / what to amend in this manifest for next candidate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T+2 to T+5 b/d</w:t>
      </w:r>
      <w:r>
        <w:t xml:space="preserve"> </w:t>
      </w:r>
      <w:r>
        <w:t xml:space="preserve">— Answer outstanding-question log; close each item in writing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T+5 b/d</w:t>
      </w:r>
      <w:r>
        <w:t xml:space="preserve"> </w:t>
      </w:r>
      <w:r>
        <w:t xml:space="preserve">— Candidate decision deadline (Yes / Defer with new date / No)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On Yes</w:t>
      </w:r>
      <w:r>
        <w:t xml:space="preserve"> </w:t>
      </w:r>
      <w:r>
        <w:t xml:space="preserve">— MSA + SOW v1 sent for signature;</w:t>
      </w:r>
      <w:r>
        <w:t xml:space="preserve"> </w:t>
      </w:r>
      <w:r>
        <w:rPr>
          <w:rStyle w:val="VerbatimChar"/>
        </w:rPr>
        <w:t xml:space="preserve">/staff</w:t>
      </w:r>
      <w:r>
        <w:t xml:space="preserve"> </w:t>
      </w:r>
      <w:r>
        <w:t xml:space="preserve">partner state advances</w:t>
      </w:r>
      <w:r>
        <w:t xml:space="preserve"> </w:t>
      </w:r>
      <w:r>
        <w:rPr>
          <w:rStyle w:val="VerbatimChar"/>
        </w:rPr>
        <w:t xml:space="preserve">DEMO_DONE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MSA_PENDING_SIGNATURE</w:t>
      </w:r>
      <w:r>
        <w:t xml:space="preserve">; expected execution within 14 days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On No</w:t>
      </w:r>
      <w:r>
        <w:t xml:space="preserve"> </w:t>
      </w:r>
      <w:r>
        <w:t xml:space="preserve">— Verification record annotated</w:t>
      </w:r>
      <w:r>
        <w:t xml:space="preserve"> </w:t>
      </w:r>
      <w:r>
        <w:rPr>
          <w:rStyle w:val="VerbatimChar"/>
        </w:rPr>
        <w:t xml:space="preserve">DEMO_DECLINED</w:t>
      </w:r>
      <w:r>
        <w:t xml:space="preserve"> </w:t>
      </w:r>
      <w:r>
        <w:t xml:space="preserve">with rationale; backup-partner outreach initiated (recipient swap on [[17-partner-verification-request]])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On Defer</w:t>
      </w:r>
      <w:r>
        <w:t xml:space="preserve"> </w:t>
      </w:r>
      <w:r>
        <w:t xml:space="preserve">— New decision date logged; candidate state stays</w:t>
      </w:r>
      <w:r>
        <w:t xml:space="preserve"> </w:t>
      </w:r>
      <w:r>
        <w:rPr>
          <w:rStyle w:val="VerbatimChar"/>
        </w:rPr>
        <w:t xml:space="preserve">DEMO_DONE</w:t>
      </w:r>
      <w:r>
        <w:t xml:space="preserve">; follow-up nudge weekly</w:t>
      </w:r>
    </w:p>
    <w:p>
      <w:r>
        <w:pict>
          <v:rect style="width:0;height:1.5pt" o:hralign="center" o:hrstd="t" o:hr="t"/>
        </w:pict>
      </w:r>
    </w:p>
    <w:bookmarkEnd w:id="22"/>
    <w:bookmarkStart w:id="23" w:name="manifest-version-control"/>
    <w:p>
      <w:pPr>
        <w:pStyle w:val="Heading2"/>
      </w:pPr>
      <w:r>
        <w:t xml:space="preserve">Manifest version control</w:t>
      </w:r>
    </w:p>
    <w:p>
      <w:pPr>
        <w:pStyle w:val="Compact"/>
        <w:numPr>
          <w:ilvl w:val="0"/>
          <w:numId w:val="1017"/>
        </w:numPr>
      </w:pPr>
      <w:r>
        <w:t xml:space="preserve">This manifest amends after each demo per the T+1 b/d debrief. Track amendments in the file header</w:t>
      </w:r>
      <w:r>
        <w:t xml:space="preserve"> </w:t>
      </w:r>
      <w:r>
        <w:rPr>
          <w:rStyle w:val="VerbatimChar"/>
        </w:rPr>
        <w:t xml:space="preserve">created → updated</w:t>
      </w:r>
      <w:r>
        <w:t xml:space="preserve"> </w:t>
      </w:r>
      <w:r>
        <w:t xml:space="preserve">line + a brief</w:t>
      </w:r>
      <w:r>
        <w:t xml:space="preserve"> </w:t>
      </w:r>
      <w:r>
        <w:t xml:space="preserve">“What changed and why”</w:t>
      </w:r>
      <w:r>
        <w:t xml:space="preserve"> </w:t>
      </w:r>
      <w:r>
        <w:t xml:space="preserve">note at file end.</w:t>
      </w:r>
    </w:p>
    <w:p>
      <w:pPr>
        <w:pStyle w:val="Compact"/>
        <w:numPr>
          <w:ilvl w:val="0"/>
          <w:numId w:val="1017"/>
        </w:numPr>
      </w:pPr>
      <w:r>
        <w:t xml:space="preserve">Material changes (new block, dropped block, sequence change) → notify [[ADR-006]] author + run by Interlegal Senior before next demo.</w:t>
      </w:r>
    </w:p>
    <w:p>
      <w:pPr>
        <w:pStyle w:val="Compact"/>
        <w:numPr>
          <w:ilvl w:val="0"/>
          <w:numId w:val="1017"/>
        </w:numPr>
      </w:pPr>
      <w:r>
        <w:t xml:space="preserve">Per-candidate brief at</w:t>
      </w:r>
      <w:r>
        <w:t xml:space="preserve"> </w:t>
      </w:r>
      <w:r>
        <w:rPr>
          <w:rStyle w:val="VerbatimChar"/>
        </w:rPr>
        <w:t xml:space="preserve">/Interlegal — Cyprus IP Box/Partners/&lt;candidate&gt;/demo-brief-YYYY-MM-DD.docx</w:t>
      </w:r>
      <w:r>
        <w:t xml:space="preserve"> </w:t>
      </w:r>
      <w:r>
        <w:t xml:space="preserve">is firm-specific; this manifest stays partner-agnostic.</w:t>
      </w:r>
    </w:p>
    <w:p>
      <w:r>
        <w:pict>
          <v:rect style="width:0;height:1.5pt" o:hralign="center" o:hrstd="t" o:hr="t"/>
        </w:pict>
      </w:r>
    </w:p>
    <w:bookmarkEnd w:id="23"/>
    <w:bookmarkStart w:id="31" w:name="resources-demoed"/>
    <w:p>
      <w:pPr>
        <w:pStyle w:val="Heading2"/>
      </w:pPr>
      <w:r>
        <w:t xml:space="preserve">Resources demoed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Surface</w:t>
            </w:r>
          </w:p>
        </w:tc>
        <w:tc>
          <w:tcPr/>
          <w:p>
            <w:pPr>
              <w:pStyle w:val="Compact"/>
            </w:pPr>
            <w:r>
              <w:t xml:space="preserve">URL (live)</w:t>
            </w:r>
          </w:p>
        </w:tc>
        <w:tc>
          <w:tcPr/>
          <w:p>
            <w:pPr>
              <w:pStyle w:val="Compact"/>
            </w:pPr>
            <w:r>
              <w:t xml:space="preserve">Purpose in demo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Landing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link"/>
                </w:rPr>
                <w:t xml:space="preserve">https://interlegal-ipbox.pages.dev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Block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Process</w:t>
            </w:r>
          </w:p>
        </w:tc>
        <w:tc>
          <w:tcPr/>
          <w:p>
            <w:pPr>
              <w:pStyle w:val="Compact"/>
            </w:pPr>
            <w:hyperlink r:id="rId25">
              <w:r>
                <w:rPr>
                  <w:rStyle w:val="Hyperlink"/>
                </w:rPr>
                <w:t xml:space="preserve">https://interlegal-ipbox.pages.dev/process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Block 2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Home / matter overview</w:t>
            </w:r>
          </w:p>
        </w:tc>
        <w:tc>
          <w:tcPr/>
          <w:p>
            <w:pPr>
              <w:pStyle w:val="Compact"/>
            </w:pPr>
            <w:hyperlink r:id="rId26">
              <w:r>
                <w:rPr>
                  <w:rStyle w:val="Hyperlink"/>
                </w:rPr>
                <w:t xml:space="preserve">https://interlegal-ipbox.pages.dev/home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Block 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Calculator</w:t>
            </w:r>
          </w:p>
        </w:tc>
        <w:tc>
          <w:tcPr/>
          <w:p>
            <w:pPr>
              <w:pStyle w:val="Compact"/>
            </w:pPr>
            <w:hyperlink r:id="rId27">
              <w:r>
                <w:rPr>
                  <w:rStyle w:val="Hyperlink"/>
                </w:rPr>
                <w:t xml:space="preserve">https://interlegal-ipbox.pages.dev/calculator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Block 3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Templates</w:t>
            </w:r>
          </w:p>
        </w:tc>
        <w:tc>
          <w:tcPr/>
          <w:p>
            <w:pPr>
              <w:pStyle w:val="Compact"/>
            </w:pPr>
            <w:hyperlink r:id="rId28">
              <w:r>
                <w:rPr>
                  <w:rStyle w:val="Hyperlink"/>
                </w:rPr>
                <w:t xml:space="preserve">https://interlegal-ipbox.pages.dev/templates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Block 4 + 8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Staff cockpit</w:t>
            </w:r>
          </w:p>
        </w:tc>
        <w:tc>
          <w:tcPr/>
          <w:p>
            <w:pPr>
              <w:pStyle w:val="Compact"/>
            </w:pPr>
            <w:hyperlink r:id="rId29">
              <w:r>
                <w:rPr>
                  <w:rStyle w:val="Hyperlink"/>
                </w:rPr>
                <w:t xml:space="preserve">https://interlegal-ipbox.pages.dev/staff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Block 5 + 6 + 7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Learn</w:t>
            </w:r>
          </w:p>
        </w:tc>
        <w:tc>
          <w:tcPr/>
          <w:p>
            <w:pPr>
              <w:pStyle w:val="Compact"/>
            </w:pPr>
            <w:hyperlink r:id="rId30">
              <w:r>
                <w:rPr>
                  <w:rStyle w:val="Hyperlink"/>
                </w:rPr>
                <w:t xml:space="preserve">https://interlegal-ipbox.pages.dev/learn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Reference only — not opened during demo</w:t>
            </w:r>
          </w:p>
        </w:tc>
      </w:tr>
    </w:tbl>
    <w:p>
      <w:pPr>
        <w:pStyle w:val="BodyText"/>
      </w:pPr>
      <w:r>
        <w:rPr>
          <w:b/>
          <w:bCs/>
        </w:rPr>
        <w:t xml:space="preserve">Documents demoed (markdown sources):</w:t>
      </w:r>
    </w:p>
    <w:p>
      <w:pPr>
        <w:pStyle w:val="Compact"/>
        <w:numPr>
          <w:ilvl w:val="0"/>
          <w:numId w:val="1018"/>
        </w:numPr>
      </w:pPr>
      <w:r>
        <w:t xml:space="preserve">ADRs: [[ADR-005]], [[ADR-006]], [[ADR-007]]</w:t>
      </w:r>
    </w:p>
    <w:p>
      <w:pPr>
        <w:pStyle w:val="Compact"/>
        <w:numPr>
          <w:ilvl w:val="0"/>
          <w:numId w:val="1018"/>
        </w:numPr>
      </w:pPr>
      <w:r>
        <w:t xml:space="preserve">Templates: [[01-engagement-letter-S2]], [[06-substance-memo-annual]], [[09-cyprus-partner-sow]], [[19-master-services-agreement]]</w:t>
      </w:r>
    </w:p>
    <w:p>
      <w:pPr>
        <w:pStyle w:val="Compact"/>
        <w:numPr>
          <w:ilvl w:val="0"/>
          <w:numId w:val="1018"/>
        </w:numPr>
      </w:pPr>
      <w:r>
        <w:t xml:space="preserve">Synthetic matters: M-0042 (happy-path); M-0043 (problem-state)</w:t>
      </w:r>
    </w:p>
    <w:p>
      <w:r>
        <w:pict>
          <v:rect style="width:0;height:1.5pt" o:hralign="center" o:hrstd="t" o:hr="t"/>
        </w:pict>
      </w:r>
    </w:p>
    <w:bookmarkEnd w:id="31"/>
    <w:bookmarkStart w:id="32" w:name="related"/>
    <w:p>
      <w:pPr>
        <w:pStyle w:val="Heading2"/>
      </w:pPr>
      <w:r>
        <w:t xml:space="preserve">Related</w:t>
      </w:r>
    </w:p>
    <w:p>
      <w:pPr>
        <w:pStyle w:val="Compact"/>
        <w:numPr>
          <w:ilvl w:val="0"/>
          <w:numId w:val="1019"/>
        </w:numPr>
      </w:pPr>
      <w:r>
        <w:t xml:space="preserve">[[partner-onboarding]] — Trek 06; the post-MSA partner-principal onboarding that this demo introduces</w:t>
      </w:r>
    </w:p>
    <w:p>
      <w:pPr>
        <w:pStyle w:val="Compact"/>
        <w:numPr>
          <w:ilvl w:val="0"/>
          <w:numId w:val="1019"/>
        </w:numPr>
      </w:pPr>
      <w:r>
        <w:t xml:space="preserve">[[cyprus-contractor]] — Trek 05; the operational-staff onboarding the candidate’s team completes after MSA</w:t>
      </w:r>
    </w:p>
    <w:p>
      <w:pPr>
        <w:pStyle w:val="Compact"/>
        <w:numPr>
          <w:ilvl w:val="0"/>
          <w:numId w:val="1019"/>
        </w:numPr>
      </w:pPr>
      <w:r>
        <w:t xml:space="preserve">[[19-master-services-agreement]] — MSA template walked through in Block 8</w:t>
      </w:r>
    </w:p>
    <w:p>
      <w:pPr>
        <w:pStyle w:val="Compact"/>
        <w:numPr>
          <w:ilvl w:val="0"/>
          <w:numId w:val="1019"/>
        </w:numPr>
      </w:pPr>
      <w:r>
        <w:t xml:space="preserve">[[09-cyprus-partner-sow]] — SOW template walked through in Block 8</w:t>
      </w:r>
    </w:p>
    <w:p>
      <w:pPr>
        <w:pStyle w:val="Compact"/>
        <w:numPr>
          <w:ilvl w:val="0"/>
          <w:numId w:val="1019"/>
        </w:numPr>
      </w:pPr>
      <w:r>
        <w:t xml:space="preserve">[[17-partner-verification-request]] — outreach template (used pre-verification, before this demo)</w:t>
      </w:r>
    </w:p>
    <w:p>
      <w:pPr>
        <w:pStyle w:val="Compact"/>
        <w:numPr>
          <w:ilvl w:val="0"/>
          <w:numId w:val="1019"/>
        </w:numPr>
      </w:pPr>
      <w:r>
        <w:t xml:space="preserve">[[process/partner-verification]] — verification methodology + state machine; this demo is the gating event between verification CLOSED — POSITIVE and MSA execution</w:t>
      </w:r>
    </w:p>
    <w:p>
      <w:pPr>
        <w:pStyle w:val="Compact"/>
        <w:numPr>
          <w:ilvl w:val="0"/>
          <w:numId w:val="1019"/>
        </w:numPr>
      </w:pPr>
      <w:r>
        <w:t xml:space="preserve">[[ADR-006]] — operating philosophy demoed in Block 7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1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4" Target="https://interlegal-ipbox.pages.dev" TargetMode="External" /><Relationship Type="http://schemas.openxmlformats.org/officeDocument/2006/relationships/hyperlink" Id="rId27" Target="https://interlegal-ipbox.pages.dev/calculator" TargetMode="External" /><Relationship Type="http://schemas.openxmlformats.org/officeDocument/2006/relationships/hyperlink" Id="rId26" Target="https://interlegal-ipbox.pages.dev/home" TargetMode="External" /><Relationship Type="http://schemas.openxmlformats.org/officeDocument/2006/relationships/hyperlink" Id="rId30" Target="https://interlegal-ipbox.pages.dev/learn" TargetMode="External" /><Relationship Type="http://schemas.openxmlformats.org/officeDocument/2006/relationships/hyperlink" Id="rId25" Target="https://interlegal-ipbox.pages.dev/process" TargetMode="External" /><Relationship Type="http://schemas.openxmlformats.org/officeDocument/2006/relationships/hyperlink" Id="rId29" Target="https://interlegal-ipbox.pages.dev/staff" TargetMode="External" /><Relationship Type="http://schemas.openxmlformats.org/officeDocument/2006/relationships/hyperlink" Id="rId28" Target="https://interlegal-ipbox.pages.dev/templat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interlegal-ipbox.pages.dev" TargetMode="External" /><Relationship Type="http://schemas.openxmlformats.org/officeDocument/2006/relationships/hyperlink" Id="rId27" Target="https://interlegal-ipbox.pages.dev/calculator" TargetMode="External" /><Relationship Type="http://schemas.openxmlformats.org/officeDocument/2006/relationships/hyperlink" Id="rId26" Target="https://interlegal-ipbox.pages.dev/home" TargetMode="External" /><Relationship Type="http://schemas.openxmlformats.org/officeDocument/2006/relationships/hyperlink" Id="rId30" Target="https://interlegal-ipbox.pages.dev/learn" TargetMode="External" /><Relationship Type="http://schemas.openxmlformats.org/officeDocument/2006/relationships/hyperlink" Id="rId25" Target="https://interlegal-ipbox.pages.dev/process" TargetMode="External" /><Relationship Type="http://schemas.openxmlformats.org/officeDocument/2006/relationships/hyperlink" Id="rId29" Target="https://interlegal-ipbox.pages.dev/staff" TargetMode="External" /><Relationship Type="http://schemas.openxmlformats.org/officeDocument/2006/relationships/hyperlink" Id="rId28" Target="https://interlegal-ipbox.pages.dev/templat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2026-05-17T19:33:07Z</dcterms:created>
  <dcterms:modified xsi:type="dcterms:W3CDTF">2026-05-17T19:33:07Z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