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auto" w:w="0"/>
        <w:tblLook w:firstRow="0" w:lastRow="0" w:firstColumn="0" w:lastColumn="0" w:noHBand="0" w:noVBand="0" w:val="0000"/>
      </w:tblPr>
      <w:tblGrid>
        <w:gridCol w:w="7920"/>
      </w:tblGrid>
      <w:tr>
        <w:tc>
          <w:tcPr/>
          <w:p>
            <w:pPr>
              <w:pStyle w:val="Compact"/>
            </w:pPr>
            <w:r>
              <w:t xml:space="preserve">title: Self-Study Track — Cyprus Partner Principal Onboarding (Trek 06)</w:t>
            </w:r>
          </w:p>
        </w:tc>
      </w:tr>
      <w:tr>
        <w:tc>
          <w:tcPr/>
          <w:p>
            <w:pPr>
              <w:pStyle w:val="Compact"/>
            </w:pPr>
            <w:r>
              <w:t xml:space="preserve">status: FINAL</w:t>
            </w:r>
          </w:p>
        </w:tc>
      </w:tr>
      <w:tr>
        <w:tc>
          <w:tcPr/>
          <w:p>
            <w:pPr>
              <w:pStyle w:val="Compact"/>
            </w:pPr>
            <w:r>
              <w:t xml:space="preserve">language: english</w:t>
            </w:r>
          </w:p>
        </w:tc>
      </w:tr>
      <w:tr>
        <w:tc>
          <w:tcPr/>
          <w:p>
            <w:pPr>
              <w:pStyle w:val="Compact"/>
            </w:pPr>
            <w:r>
              <w:t xml:space="preserve">controlling: true</w:t>
            </w:r>
          </w:p>
        </w:tc>
      </w:tr>
      <w:tr>
        <w:tc>
          <w:tcPr/>
          <w:p>
            <w:pPr>
              <w:pStyle w:val="Compact"/>
            </w:pPr>
            <w:r>
              <w:t xml:space="preserve">prepared_by: Interlegal Engagement Partner + Senior</w:t>
            </w:r>
          </w:p>
        </w:tc>
      </w:tr>
      <w:tr>
        <w:tc>
          <w:tcPr/>
          <w:p>
            <w:pPr>
              <w:pStyle w:val="Compact"/>
            </w:pPr>
            <w:r>
              <w:t xml:space="preserve">finalised_by: Interlegal Engagement Partner</w:t>
            </w:r>
          </w:p>
        </w:tc>
      </w:tr>
      <w:tr>
        <w:tc>
          <w:tcPr/>
          <w:p>
            <w:pPr>
              <w:pStyle w:val="Compact"/>
            </w:pPr>
            <w:r>
              <w:t xml:space="preserve">gate_required: []</w:t>
            </w:r>
          </w:p>
        </w:tc>
      </w:tr>
      <w:tr>
        <w:tc>
          <w:tcPr/>
          <w:p>
            <w:pPr>
              <w:pStyle w:val="Compact"/>
            </w:pPr>
            <w:r>
              <w:t xml:space="preserve">audience: Cyprus partner principal (engagement partner / managing partner / firm signatory) — the decision-maker who countersigned the MSA, not the operational staff</w:t>
            </w:r>
          </w:p>
        </w:tc>
      </w:tr>
      <w:tr>
        <w:tc>
          <w:tcPr/>
          <w:p>
            <w:pPr>
              <w:pStyle w:val="Compact"/>
            </w:pPr>
            <w:r>
              <w:t xml:space="preserve">target_duration: ≤ 1 working day (4 × 90 min blocks; may be split over 2 calendar days)</w:t>
            </w:r>
          </w:p>
        </w:tc>
      </w:tr>
      <w:tr>
        <w:tc>
          <w:tcPr/>
          <w:p>
            <w:pPr>
              <w:pStyle w:val="Compact"/>
            </w:pPr>
            <w:r>
              <w:t xml:space="preserve">created: 2026-05-17</w:t>
            </w:r>
          </w:p>
        </w:tc>
      </w:tr>
    </w:tbl>
    <w:bookmarkStart w:id="36" w:name="Xe4a58a32c4ddec46d5f5698d1601a8ee6461367"/>
    <w:p>
      <w:pPr>
        <w:pStyle w:val="Heading1"/>
      </w:pPr>
      <w:r>
        <w:t xml:space="preserve">Self-Study Track — Cyprus Partner Principal Onboarding (Trek 06)</w:t>
      </w:r>
    </w:p>
    <w:p>
      <w:pPr>
        <w:pStyle w:val="FirstParagraph"/>
      </w:pPr>
      <w:r>
        <w:rPr>
          <w:b/>
          <w:bCs/>
        </w:rPr>
        <w:t xml:space="preserve">Target audience:</w:t>
      </w:r>
      <w:r>
        <w:t xml:space="preserve"> </w:t>
      </w:r>
      <w:r>
        <w:t xml:space="preserve">the</w:t>
      </w:r>
      <w:r>
        <w:t xml:space="preserve"> </w:t>
      </w:r>
      <w:r>
        <w:rPr>
          <w:b/>
          <w:bCs/>
        </w:rPr>
        <w:t xml:space="preserve">partner-level signatory</w:t>
      </w:r>
      <w:r>
        <w:t xml:space="preserve"> </w:t>
      </w:r>
      <w:r>
        <w:t xml:space="preserve">at the Cyprus partner firm — the person who countersigned [[19-master-services-agreement]] (and any affiliate-firm MSAs in a Constellation B set-up). Typically the firm’s engagement partner, managing partner, or named principal under the SOW.</w:t>
      </w:r>
      <w:r>
        <w:t xml:space="preserve"> </w:t>
      </w:r>
      <w:r>
        <w:rPr>
          <w:b/>
          <w:bCs/>
        </w:rPr>
        <w:t xml:space="preserve">One person per firm</w:t>
      </w:r>
      <w:r>
        <w:t xml:space="preserve">; this track is not for operational staff (their track is [[cyprus-contractor]] / Trek 05).</w:t>
      </w:r>
    </w:p>
    <w:p>
      <w:pPr>
        <w:pStyle w:val="BodyText"/>
      </w:pPr>
      <w:r>
        <w:rPr>
          <w:b/>
          <w:bCs/>
        </w:rPr>
        <w:t xml:space="preserve">Goal:</w:t>
      </w:r>
      <w:r>
        <w:t xml:space="preserve"> </w:t>
      </w:r>
      <w:r>
        <w:t xml:space="preserve">at the end of ≤ 1 working day the partner principal understands (1) the contractual instrument they signed and the 11 warranties they continually attest, (2) the governance forums they own or chair, (3) the economic mechanisms that decide fees and re-banding, (4) the escalation paths for conflicts / disagreement / backup-partner activation, (5) the first-90-days rhythm post-MSA, (6) the termination + off-boarding scenarios they may face.</w:t>
      </w:r>
    </w:p>
    <w:p>
      <w:pPr>
        <w:pStyle w:val="BodyText"/>
      </w:pPr>
      <w:r>
        <w:rPr>
          <w:b/>
          <w:bCs/>
        </w:rPr>
        <w:t xml:space="preserve">This track is partner-agnostic.</w:t>
      </w:r>
      <w:r>
        <w:t xml:space="preserve"> </w:t>
      </w:r>
      <w:r>
        <w:t xml:space="preserve">No firm name appears here. Firm-specific config (named signatory, Annex contents, fee bands) lives in the signed MSA + SOWs.</w:t>
      </w:r>
    </w:p>
    <w:p>
      <w:pPr>
        <w:pStyle w:val="BodyText"/>
      </w:pPr>
      <w:r>
        <w:rPr>
          <w:b/>
          <w:bCs/>
        </w:rPr>
        <w:t xml:space="preserve">Pre-condition:</w:t>
      </w:r>
      <w:r>
        <w:t xml:space="preserve"> </w:t>
      </w:r>
      <w:r>
        <w:t xml:space="preserve">verification CLOSED — POSITIVE on</w:t>
      </w:r>
      <w:r>
        <w:t xml:space="preserve"> </w:t>
      </w:r>
      <w:r>
        <w:rPr>
          <w:rStyle w:val="VerbatimChar"/>
        </w:rPr>
        <w:t xml:space="preserve">/staff</w:t>
      </w:r>
      <w:r>
        <w:t xml:space="preserve"> </w:t>
      </w:r>
      <w:r>
        <w:t xml:space="preserve">“Cyprus Partner Verification”</w:t>
      </w:r>
      <w:r>
        <w:t xml:space="preserve"> </w:t>
      </w:r>
      <w:r>
        <w:t xml:space="preserve">panel; MSA executed (default path) or first SOW with inline MSA clauses executed (alternative path per [[09-cyprus-partner-sow]] §2.2).</w:t>
      </w:r>
    </w:p>
    <w:p>
      <w:r>
        <w:pict>
          <v:rect style="width:0;height:1.5pt" o:hralign="center" o:hrstd="t" o:hr="t"/>
        </w:pict>
      </w:r>
    </w:p>
    <w:bookmarkStart w:id="13" w:name="block-1-the-instrument-you-signed-90-min"/>
    <w:p>
      <w:pPr>
        <w:pStyle w:val="Heading2"/>
      </w:pPr>
      <w:r>
        <w:t xml:space="preserve">Block 1 — The instrument you signed (≈ 90 min)</w:t>
      </w:r>
    </w:p>
    <w:bookmarkStart w:id="9" w:name="read-order"/>
    <w:p>
      <w:pPr>
        <w:pStyle w:val="Heading3"/>
      </w:pPr>
      <w:r>
        <w:t xml:space="preserve">1.1 Read order</w:t>
      </w:r>
    </w:p>
    <w:p>
      <w:pPr>
        <w:pStyle w:val="Compact"/>
        <w:numPr>
          <w:ilvl w:val="0"/>
          <w:numId w:val="1001"/>
        </w:numPr>
      </w:pPr>
      <w:r>
        <w:t xml:space="preserve">[[19-master-services-agreement]]</w:t>
      </w:r>
      <w:r>
        <w:t xml:space="preserve"> </w:t>
      </w:r>
      <w:r>
        <w:rPr>
          <w:b/>
          <w:bCs/>
        </w:rPr>
        <w:t xml:space="preserve">full</w:t>
      </w:r>
      <w:r>
        <w:t xml:space="preserve"> </w:t>
      </w:r>
      <w:r>
        <w:t xml:space="preserve">— the umbrella you signed. Pay particular attention to §3 (11 warranties), §4.5 (versioning rule), §6 (exclusivity), §8 (backup-partner), §12 (liability + insurance), §13 (term + termination + off-boarding).</w:t>
      </w:r>
    </w:p>
    <w:p>
      <w:pPr>
        <w:pStyle w:val="Compact"/>
        <w:numPr>
          <w:ilvl w:val="0"/>
          <w:numId w:val="1002"/>
        </w:numPr>
      </w:pPr>
      <w:r>
        <w:t xml:space="preserve">[[ADR-006]]</w:t>
      </w:r>
      <w:r>
        <w:t xml:space="preserve"> </w:t>
      </w:r>
      <w:r>
        <w:rPr>
          <w:b/>
          <w:bCs/>
        </w:rPr>
        <w:t xml:space="preserve">full</w:t>
      </w:r>
      <w:r>
        <w:t xml:space="preserve"> </w:t>
      </w:r>
      <w:r>
        <w:t xml:space="preserve">— Cyprus Contractor Strategy. The MSA operationalises ADR-006; reading both side-by-side shows you why each MSA clause exists. Note: §</w:t>
      </w:r>
      <w:r>
        <w:t xml:space="preserve">“Engaged partner”</w:t>
      </w:r>
      <w:r>
        <w:t xml:space="preserve"> </w:t>
      </w:r>
      <w:r>
        <w:t xml:space="preserve">snapshot table holds the live record of your firm in the partner constellation.</w:t>
      </w:r>
    </w:p>
    <w:p>
      <w:pPr>
        <w:pStyle w:val="Compact"/>
        <w:numPr>
          <w:ilvl w:val="0"/>
          <w:numId w:val="1003"/>
        </w:numPr>
      </w:pPr>
      <w:r>
        <w:t xml:space="preserve">[[09-cyprus-partner-sow]]</w:t>
      </w:r>
      <w:r>
        <w:t xml:space="preserve"> </w:t>
      </w:r>
      <w:r>
        <w:rPr>
          <w:b/>
          <w:bCs/>
        </w:rPr>
        <w:t xml:space="preserve">§§ 1–4, 10, 11</w:t>
      </w:r>
      <w:r>
        <w:t xml:space="preserve"> </w:t>
      </w:r>
      <w:r>
        <w:t xml:space="preserve">— the SOW template. You see your firm’s signed SOW at the Annex level; this read familiarises you with the wrapper.</w:t>
      </w:r>
    </w:p>
    <w:bookmarkEnd w:id="9"/>
    <w:bookmarkStart w:id="10" w:name="X3ee4426d583594a750351c7f5b2522886219a88"/>
    <w:p>
      <w:pPr>
        <w:pStyle w:val="Heading3"/>
      </w:pPr>
      <w:r>
        <w:t xml:space="preserve">1.2 The 11 warranties — what you continually attest</w:t>
      </w:r>
    </w:p>
    <w:p>
      <w:pPr>
        <w:pStyle w:val="FirstParagraph"/>
      </w:pPr>
      <w:r>
        <w:t xml:space="preserve">The warranties at MSA §3.1 (W-1..W-11) are not point-in-time declarations — they are continuing representations. Material degradation triggers a §3.2 notification within 10 business days, then a §3.3 30-day cure window.</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Warranty</w:t>
            </w:r>
          </w:p>
        </w:tc>
        <w:tc>
          <w:tcPr/>
          <w:p>
            <w:pPr>
              <w:pStyle w:val="Compact"/>
            </w:pPr>
            <w:r>
              <w:t xml:space="preserve">What</w:t>
            </w:r>
            <w:r>
              <w:t xml:space="preserve"> </w:t>
            </w:r>
            <w:r>
              <w:t xml:space="preserve">“material degradation”</w:t>
            </w:r>
            <w:r>
              <w:t xml:space="preserve"> </w:t>
            </w:r>
            <w:r>
              <w:t xml:space="preserve">looks like</w:t>
            </w:r>
          </w:p>
        </w:tc>
      </w:tr>
      <w:tr>
        <w:tc>
          <w:tcPr/>
          <w:p>
            <w:pPr>
              <w:pStyle w:val="Compact"/>
            </w:pPr>
            <w:r>
              <w:t xml:space="preserve">W-1 ICPAC licence</w:t>
            </w:r>
          </w:p>
        </w:tc>
        <w:tc>
          <w:tcPr/>
          <w:p>
            <w:pPr>
              <w:pStyle w:val="Compact"/>
            </w:pPr>
            <w:r>
              <w:t xml:space="preserve">Member-firm status lapses; licensed individual leaves without replacement</w:t>
            </w:r>
          </w:p>
        </w:tc>
      </w:tr>
      <w:tr>
        <w:tc>
          <w:tcPr/>
          <w:p>
            <w:pPr>
              <w:pStyle w:val="Compact"/>
            </w:pPr>
            <w:r>
              <w:t xml:space="preserve">W-2 Bar member</w:t>
            </w:r>
          </w:p>
        </w:tc>
        <w:tc>
          <w:tcPr/>
          <w:p>
            <w:pPr>
              <w:pStyle w:val="Compact"/>
            </w:pPr>
            <w:r>
              <w:t xml:space="preserve">Named Bar member departs the firm or is suspended</w:t>
            </w:r>
          </w:p>
        </w:tc>
      </w:tr>
      <w:tr>
        <w:tc>
          <w:tcPr/>
          <w:p>
            <w:pPr>
              <w:pStyle w:val="Compact"/>
            </w:pPr>
            <w:r>
              <w:t xml:space="preserve">W-3 IP Box specialism</w:t>
            </w:r>
          </w:p>
        </w:tc>
        <w:tc>
          <w:tcPr/>
          <w:p>
            <w:pPr>
              <w:pStyle w:val="Compact"/>
            </w:pPr>
            <w:r>
              <w:t xml:space="preserve">Firm pivots away from IP Box work (no new matters in 12 months)</w:t>
            </w:r>
          </w:p>
        </w:tc>
      </w:tr>
      <w:tr>
        <w:tc>
          <w:tcPr/>
          <w:p>
            <w:pPr>
              <w:pStyle w:val="Compact"/>
            </w:pPr>
            <w:r>
              <w:t xml:space="preserve">W-4 Tax-ruling experience</w:t>
            </w:r>
          </w:p>
        </w:tc>
        <w:tc>
          <w:tcPr/>
          <w:p>
            <w:pPr>
              <w:pStyle w:val="Compact"/>
            </w:pPr>
            <w:r>
              <w:t xml:space="preserve">All ruling-experienced staff exit; firm cannot field a ruling-drafter</w:t>
            </w:r>
          </w:p>
        </w:tc>
      </w:tr>
      <w:tr>
        <w:tc>
          <w:tcPr/>
          <w:p>
            <w:pPr>
              <w:pStyle w:val="Compact"/>
            </w:pPr>
            <w:r>
              <w:t xml:space="preserve">W-5 Real Cyprus office</w:t>
            </w:r>
          </w:p>
        </w:tc>
        <w:tc>
          <w:tcPr/>
          <w:p>
            <w:pPr>
              <w:pStyle w:val="Compact"/>
            </w:pPr>
            <w:r>
              <w:t xml:space="preserve">Office closure or move without notice</w:t>
            </w:r>
          </w:p>
        </w:tc>
      </w:tr>
      <w:tr>
        <w:tc>
          <w:tcPr/>
          <w:p>
            <w:pPr>
              <w:pStyle w:val="Compact"/>
            </w:pPr>
            <w:r>
              <w:t xml:space="preserve">W-6 English language</w:t>
            </w:r>
          </w:p>
        </w:tc>
        <w:tc>
          <w:tcPr/>
          <w:p>
            <w:pPr>
              <w:pStyle w:val="Compact"/>
            </w:pPr>
            <w:r>
              <w:t xml:space="preserve">Loss of bilingual capability for client-facing comms</w:t>
            </w:r>
          </w:p>
        </w:tc>
      </w:tr>
      <w:tr>
        <w:tc>
          <w:tcPr/>
          <w:p>
            <w:pPr>
              <w:pStyle w:val="Compact"/>
            </w:pPr>
            <w:r>
              <w:t xml:space="preserve">W-7 GDPR / DPA</w:t>
            </w:r>
          </w:p>
        </w:tc>
        <w:tc>
          <w:tcPr/>
          <w:p>
            <w:pPr>
              <w:pStyle w:val="Compact"/>
            </w:pPr>
            <w:r>
              <w:t xml:space="preserve">GDPR breach affecting matter data; data-protection authority intervention</w:t>
            </w:r>
          </w:p>
        </w:tc>
      </w:tr>
      <w:tr>
        <w:tc>
          <w:tcPr/>
          <w:p>
            <w:pPr>
              <w:pStyle w:val="Compact"/>
            </w:pPr>
            <w:r>
              <w:t xml:space="preserve">W-8 Big-4 independence</w:t>
            </w:r>
          </w:p>
        </w:tc>
        <w:tc>
          <w:tcPr/>
          <w:p>
            <w:pPr>
              <w:pStyle w:val="Compact"/>
            </w:pPr>
            <w:r>
              <w:t xml:space="preserve">Acquisition or revenue-dependency on Big-4 affiliate</w:t>
            </w:r>
          </w:p>
        </w:tc>
      </w:tr>
      <w:tr>
        <w:tc>
          <w:tcPr/>
          <w:p>
            <w:pPr>
              <w:pStyle w:val="Compact"/>
            </w:pPr>
            <w:r>
              <w:t xml:space="preserve">W-9 Secure file exchange</w:t>
            </w:r>
          </w:p>
        </w:tc>
        <w:tc>
          <w:tcPr/>
          <w:p>
            <w:pPr>
              <w:pStyle w:val="Compact"/>
            </w:pPr>
            <w:r>
              <w:t xml:space="preserve">IT-security incident; switch to email-PDF as default</w:t>
            </w:r>
          </w:p>
        </w:tc>
      </w:tr>
      <w:tr>
        <w:tc>
          <w:tcPr/>
          <w:p>
            <w:pPr>
              <w:pStyle w:val="Compact"/>
            </w:pPr>
            <w:r>
              <w:t xml:space="preserve">W-10 References</w:t>
            </w:r>
          </w:p>
        </w:tc>
        <w:tc>
          <w:tcPr/>
          <w:p>
            <w:pPr>
              <w:pStyle w:val="Compact"/>
            </w:pPr>
            <w:r>
              <w:t xml:space="preserve">Reference-firm severs relationship publicly</w:t>
            </w:r>
          </w:p>
        </w:tc>
      </w:tr>
      <w:tr>
        <w:tc>
          <w:tcPr/>
          <w:p>
            <w:pPr>
              <w:pStyle w:val="Compact"/>
            </w:pPr>
            <w:r>
              <w:t xml:space="preserve">W-11 G5 ownership posture</w:t>
            </w:r>
          </w:p>
        </w:tc>
        <w:tc>
          <w:tcPr/>
          <w:p>
            <w:pPr>
              <w:pStyle w:val="Compact"/>
            </w:pPr>
            <w:r>
              <w:t xml:space="preserve">Partner principal change with different view on rubber-stamping</w:t>
            </w:r>
          </w:p>
        </w:tc>
      </w:tr>
    </w:tbl>
    <w:p>
      <w:pPr>
        <w:pStyle w:val="BlockText"/>
      </w:pPr>
      <w:r>
        <w:rPr>
          <w:b/>
          <w:bCs/>
        </w:rPr>
        <w:t xml:space="preserve">Operational read.</w:t>
      </w:r>
      <w:r>
        <w:t xml:space="preserve"> </w:t>
      </w:r>
      <w:r>
        <w:t xml:space="preserve">If anything on the right column happens, your in-house compliance officer files written notice with Interlegal within 10 business days. Cure within 30 days or the MSA is at risk of cause-termination under §13.2(b).</w:t>
      </w:r>
    </w:p>
    <w:bookmarkEnd w:id="10"/>
    <w:bookmarkStart w:id="11" w:name="annex-5-annual-re-attestation"/>
    <w:p>
      <w:pPr>
        <w:pStyle w:val="Heading3"/>
      </w:pPr>
      <w:r>
        <w:t xml:space="preserve">1.3 Annex 5 — Annual Re-attestation</w:t>
      </w:r>
    </w:p>
    <w:p>
      <w:pPr>
        <w:pStyle w:val="FirstParagraph"/>
      </w:pPr>
      <w:r>
        <w:t xml:space="preserve">Each anniversary of the effective date you countersign Annex 5 confirming all 11 warranties remain met. Interlegal sends Annex 5 30 days before the anniversary; you return signed within 14 days. This is a discrete diary item — set a calendar reminder now.</w:t>
      </w:r>
    </w:p>
    <w:bookmarkEnd w:id="11"/>
    <w:bookmarkStart w:id="12" w:name="self-test"/>
    <w:p>
      <w:pPr>
        <w:pStyle w:val="Heading3"/>
      </w:pPr>
      <w:r>
        <w:t xml:space="preserve">1.4 Self-test</w:t>
      </w:r>
    </w:p>
    <w:p>
      <w:pPr>
        <w:pStyle w:val="FirstParagraph"/>
      </w:pPr>
      <w:r>
        <w:t xml:space="preserve">Answer in your own words:</w:t>
      </w:r>
    </w:p>
    <w:p>
      <w:pPr>
        <w:pStyle w:val="Compact"/>
        <w:numPr>
          <w:ilvl w:val="0"/>
          <w:numId w:val="1004"/>
        </w:numPr>
      </w:pPr>
      <w:r>
        <w:t xml:space="preserve">Which warranty most concerns you given your firm’s current state (any</w:t>
      </w:r>
      <w:r>
        <w:t xml:space="preserve"> </w:t>
      </w:r>
      <w:r>
        <w:t xml:space="preserve">“yellow flag”</w:t>
      </w:r>
      <w:r>
        <w:t xml:space="preserve">)?</w:t>
      </w:r>
    </w:p>
    <w:p>
      <w:pPr>
        <w:pStyle w:val="Compact"/>
        <w:numPr>
          <w:ilvl w:val="0"/>
          <w:numId w:val="1004"/>
        </w:numPr>
      </w:pPr>
      <w:r>
        <w:t xml:space="preserve">If warranty W-2 (Bar member) degrades because the named individual leaves, what’s your replacement plan within the cure window?</w:t>
      </w:r>
    </w:p>
    <w:p>
      <w:pPr>
        <w:pStyle w:val="Compact"/>
        <w:numPr>
          <w:ilvl w:val="0"/>
          <w:numId w:val="1004"/>
        </w:numPr>
      </w:pPr>
      <w:r>
        <w:t xml:space="preserve">Under which warranty would a client GDPR complaint about your file-exchange channel land?</w:t>
      </w:r>
    </w:p>
    <w:p>
      <w:pPr>
        <w:pStyle w:val="FirstParagraph"/>
      </w:pPr>
      <w:r>
        <w:t xml:space="preserve">Bring answers to the first joint cadence call.</w:t>
      </w:r>
    </w:p>
    <w:p>
      <w:r>
        <w:pict>
          <v:rect style="width:0;height:1.5pt" o:hralign="center" o:hrstd="t" o:hr="t"/>
        </w:pict>
      </w:r>
    </w:p>
    <w:bookmarkEnd w:id="12"/>
    <w:bookmarkEnd w:id="13"/>
    <w:bookmarkStart w:id="18" w:name="Xdd685ee6d33807e0b46cfad6f98eed99384e726"/>
    <w:p>
      <w:pPr>
        <w:pStyle w:val="Heading2"/>
      </w:pPr>
      <w:r>
        <w:t xml:space="preserve">Block 2 — Governance forums you chair or attend (≈ 90 min)</w:t>
      </w:r>
    </w:p>
    <w:bookmarkStart w:id="14" w:name="read-order-1"/>
    <w:p>
      <w:pPr>
        <w:pStyle w:val="Heading3"/>
      </w:pPr>
      <w:r>
        <w:t xml:space="preserve">2.1 Read order</w:t>
      </w:r>
    </w:p>
    <w:p>
      <w:pPr>
        <w:pStyle w:val="Compact"/>
        <w:numPr>
          <w:ilvl w:val="0"/>
          <w:numId w:val="1005"/>
        </w:numPr>
      </w:pPr>
      <w:r>
        <w:t xml:space="preserve">[[process/joint-cadence]]</w:t>
      </w:r>
      <w:r>
        <w:t xml:space="preserve"> </w:t>
      </w:r>
      <w:r>
        <w:rPr>
          <w:b/>
          <w:bCs/>
        </w:rPr>
        <w:t xml:space="preserve">full</w:t>
      </w:r>
      <w:r>
        <w:t xml:space="preserve"> </w:t>
      </w:r>
      <w:r>
        <w:t xml:space="preserve">— the rhythm map. Note which forums require you (partner-level) vs which require operational staff vs which are joint.</w:t>
      </w:r>
    </w:p>
    <w:bookmarkEnd w:id="14"/>
    <w:bookmarkStart w:id="15" w:name="forum-roster"/>
    <w:p>
      <w:pPr>
        <w:pStyle w:val="Heading3"/>
      </w:pPr>
      <w:r>
        <w:t xml:space="preserve">2.2 Forum roster</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Forum</w:t>
            </w:r>
          </w:p>
        </w:tc>
        <w:tc>
          <w:tcPr/>
          <w:p>
            <w:pPr>
              <w:pStyle w:val="Compact"/>
            </w:pPr>
            <w:r>
              <w:t xml:space="preserve">Cadence</w:t>
            </w:r>
          </w:p>
        </w:tc>
        <w:tc>
          <w:tcPr/>
          <w:p>
            <w:pPr>
              <w:pStyle w:val="Compact"/>
            </w:pPr>
            <w:r>
              <w:t xml:space="preserve">Your role</w:t>
            </w:r>
          </w:p>
        </w:tc>
        <w:tc>
          <w:tcPr/>
          <w:p>
            <w:pPr>
              <w:pStyle w:val="Compact"/>
            </w:pPr>
            <w:r>
              <w:t xml:space="preserve">Owner from your side</w:t>
            </w:r>
          </w:p>
        </w:tc>
        <w:tc>
          <w:tcPr/>
          <w:p>
            <w:pPr>
              <w:pStyle w:val="Compact"/>
            </w:pPr>
            <w:r>
              <w:t xml:space="preserve">Length</w:t>
            </w:r>
          </w:p>
        </w:tc>
      </w:tr>
      <w:tr>
        <w:tc>
          <w:tcPr/>
          <w:p>
            <w:pPr>
              <w:pStyle w:val="Compact"/>
            </w:pPr>
            <w:r>
              <w:t xml:space="preserve">Weekly G4/G5 calibration call</w:t>
            </w:r>
          </w:p>
        </w:tc>
        <w:tc>
          <w:tcPr/>
          <w:p>
            <w:pPr>
              <w:pStyle w:val="Compact"/>
            </w:pPr>
            <w:r>
              <w:t xml:space="preserve">Tue 14:00 CY</w:t>
            </w:r>
          </w:p>
        </w:tc>
        <w:tc>
          <w:tcPr/>
          <w:p>
            <w:pPr>
              <w:pStyle w:val="Compact"/>
            </w:pPr>
            <w:r>
              <w:t xml:space="preserve">Optional attendance; review minutes</w:t>
            </w:r>
          </w:p>
        </w:tc>
        <w:tc>
          <w:tcPr/>
          <w:p>
            <w:pPr>
              <w:pStyle w:val="Compact"/>
            </w:pPr>
            <w:r>
              <w:t xml:space="preserve">Cyprus tax advisor + ICPAC auditor</w:t>
            </w:r>
          </w:p>
        </w:tc>
        <w:tc>
          <w:tcPr/>
          <w:p>
            <w:pPr>
              <w:pStyle w:val="Compact"/>
            </w:pPr>
            <w:r>
              <w:t xml:space="preserve">45 min</w:t>
            </w:r>
          </w:p>
        </w:tc>
      </w:tr>
      <w:tr>
        <w:tc>
          <w:tcPr/>
          <w:p>
            <w:pPr>
              <w:pStyle w:val="Compact"/>
            </w:pPr>
            <w:r>
              <w:t xml:space="preserve">Monthly cross-firm calibration</w:t>
            </w:r>
          </w:p>
        </w:tc>
        <w:tc>
          <w:tcPr/>
          <w:p>
            <w:pPr>
              <w:pStyle w:val="Compact"/>
            </w:pPr>
            <w:r>
              <w:t xml:space="preserve">Last Wed of month</w:t>
            </w:r>
          </w:p>
        </w:tc>
        <w:tc>
          <w:tcPr/>
          <w:p>
            <w:pPr>
              <w:pStyle w:val="Compact"/>
            </w:pPr>
            <w:r>
              <w:rPr>
                <w:b/>
                <w:bCs/>
              </w:rPr>
              <w:t xml:space="preserve">Required attendance</w:t>
            </w:r>
            <w:r>
              <w:t xml:space="preserve"> </w:t>
            </w:r>
            <w:r>
              <w:t xml:space="preserve">— you chair from Cyprus side</w:t>
            </w:r>
          </w:p>
        </w:tc>
        <w:tc>
          <w:tcPr/>
          <w:p>
            <w:pPr>
              <w:pStyle w:val="Compact"/>
            </w:pPr>
            <w:r>
              <w:t xml:space="preserve">You + your senior staff</w:t>
            </w:r>
          </w:p>
        </w:tc>
        <w:tc>
          <w:tcPr/>
          <w:p>
            <w:pPr>
              <w:pStyle w:val="Compact"/>
            </w:pPr>
            <w:r>
              <w:t xml:space="preserve">90 min</w:t>
            </w:r>
          </w:p>
        </w:tc>
      </w:tr>
      <w:tr>
        <w:tc>
          <w:tcPr/>
          <w:p>
            <w:pPr>
              <w:pStyle w:val="Compact"/>
            </w:pPr>
            <w:r>
              <w:t xml:space="preserve">Quarterly retrospective</w:t>
            </w:r>
          </w:p>
        </w:tc>
        <w:tc>
          <w:tcPr/>
          <w:p>
            <w:pPr>
              <w:pStyle w:val="Compact"/>
            </w:pPr>
            <w:r>
              <w:t xml:space="preserve">Last Fri of quarter</w:t>
            </w:r>
          </w:p>
        </w:tc>
        <w:tc>
          <w:tcPr/>
          <w:p>
            <w:pPr>
              <w:pStyle w:val="Compact"/>
            </w:pPr>
            <w:r>
              <w:rPr>
                <w:b/>
                <w:bCs/>
              </w:rPr>
              <w:t xml:space="preserve">Required attendance</w:t>
            </w:r>
            <w:r>
              <w:t xml:space="preserve"> </w:t>
            </w:r>
            <w:r>
              <w:t xml:space="preserve">— joint chair with Interlegal Engagement Partner</w:t>
            </w:r>
          </w:p>
        </w:tc>
        <w:tc>
          <w:tcPr/>
          <w:p>
            <w:pPr>
              <w:pStyle w:val="Compact"/>
            </w:pPr>
            <w:r>
              <w:t xml:space="preserve">You</w:t>
            </w:r>
          </w:p>
        </w:tc>
        <w:tc>
          <w:tcPr/>
          <w:p>
            <w:pPr>
              <w:pStyle w:val="Compact"/>
            </w:pPr>
            <w:r>
              <w:t xml:space="preserve">120 min</w:t>
            </w:r>
          </w:p>
        </w:tc>
      </w:tr>
      <w:tr>
        <w:tc>
          <w:tcPr/>
          <w:p>
            <w:pPr>
              <w:pStyle w:val="Compact"/>
            </w:pPr>
            <w:r>
              <w:t xml:space="preserve">Annual partner economics review</w:t>
            </w:r>
          </w:p>
        </w:tc>
        <w:tc>
          <w:tcPr/>
          <w:p>
            <w:pPr>
              <w:pStyle w:val="Compact"/>
            </w:pPr>
            <w:r>
              <w:t xml:space="preserve">January</w:t>
            </w:r>
          </w:p>
        </w:tc>
        <w:tc>
          <w:tcPr/>
          <w:p>
            <w:pPr>
              <w:pStyle w:val="Compact"/>
            </w:pPr>
            <w:r>
              <w:rPr>
                <w:b/>
                <w:bCs/>
              </w:rPr>
              <w:t xml:space="preserve">Required attendance</w:t>
            </w:r>
            <w:r>
              <w:t xml:space="preserve"> </w:t>
            </w:r>
            <w:r>
              <w:t xml:space="preserve">— sole-chair Cyprus side</w:t>
            </w:r>
          </w:p>
        </w:tc>
        <w:tc>
          <w:tcPr/>
          <w:p>
            <w:pPr>
              <w:pStyle w:val="Compact"/>
            </w:pPr>
            <w:r>
              <w:t xml:space="preserve">You</w:t>
            </w:r>
          </w:p>
        </w:tc>
        <w:tc>
          <w:tcPr/>
          <w:p>
            <w:pPr>
              <w:pStyle w:val="Compact"/>
            </w:pPr>
            <w:r>
              <w:t xml:space="preserve">180 min</w:t>
            </w:r>
          </w:p>
        </w:tc>
      </w:tr>
      <w:tr>
        <w:tc>
          <w:tcPr/>
          <w:p>
            <w:pPr>
              <w:pStyle w:val="Compact"/>
            </w:pPr>
            <w:r>
              <w:t xml:space="preserve">Event-triggered urgent G5 / G6 / amendments call</w:t>
            </w:r>
          </w:p>
        </w:tc>
        <w:tc>
          <w:tcPr/>
          <w:p>
            <w:pPr>
              <w:pStyle w:val="Compact"/>
            </w:pPr>
            <w:r>
              <w:t xml:space="preserve">Per-event</w:t>
            </w:r>
          </w:p>
        </w:tc>
        <w:tc>
          <w:tcPr/>
          <w:p>
            <w:pPr>
              <w:pStyle w:val="Compact"/>
            </w:pPr>
            <w:r>
              <w:t xml:space="preserve">Required if triggered by warranty degradation, conflict §7.3 escalation, or §4.5 amendment</w:t>
            </w:r>
          </w:p>
        </w:tc>
        <w:tc>
          <w:tcPr/>
          <w:p>
            <w:pPr>
              <w:pStyle w:val="Compact"/>
            </w:pPr>
            <w:r>
              <w:t xml:space="preserve">You</w:t>
            </w:r>
          </w:p>
        </w:tc>
        <w:tc>
          <w:tcPr/>
          <w:p>
            <w:pPr>
              <w:pStyle w:val="Compact"/>
            </w:pPr>
            <w:r>
              <w:t xml:space="preserve">60–90 min</w:t>
            </w:r>
          </w:p>
        </w:tc>
      </w:tr>
      <w:tr>
        <w:tc>
          <w:tcPr/>
          <w:p>
            <w:pPr>
              <w:pStyle w:val="Compact"/>
            </w:pPr>
            <w:r>
              <w:t xml:space="preserve">Backup-partner activation review</w:t>
            </w:r>
          </w:p>
        </w:tc>
        <w:tc>
          <w:tcPr/>
          <w:p>
            <w:pPr>
              <w:pStyle w:val="Compact"/>
            </w:pPr>
            <w:r>
              <w:t xml:space="preserve">Per-trigger</w:t>
            </w:r>
          </w:p>
        </w:tc>
        <w:tc>
          <w:tcPr/>
          <w:p>
            <w:pPr>
              <w:pStyle w:val="Compact"/>
            </w:pPr>
            <w:r>
              <w:t xml:space="preserve">You sit on the panel; you do not vote (Interlegal sole decision)</w:t>
            </w:r>
          </w:p>
        </w:tc>
        <w:tc>
          <w:tcPr/>
          <w:p>
            <w:pPr>
              <w:pStyle w:val="Compact"/>
            </w:pPr>
            <w:r>
              <w:t xml:space="preserve">You attend; outcome briefed back</w:t>
            </w:r>
          </w:p>
        </w:tc>
        <w:tc>
          <w:tcPr/>
          <w:p>
            <w:pPr>
              <w:pStyle w:val="Compact"/>
            </w:pPr>
            <w:r>
              <w:t xml:space="preserve">60 min</w:t>
            </w:r>
          </w:p>
        </w:tc>
      </w:tr>
    </w:tbl>
    <w:bookmarkEnd w:id="15"/>
    <w:bookmarkStart w:id="16" w:name="X342d1e97bcf457ca50e386964cc756ac1978782"/>
    <w:p>
      <w:pPr>
        <w:pStyle w:val="Heading3"/>
      </w:pPr>
      <w:r>
        <w:t xml:space="preserve">2.3 Quarterly retrospective — your agenda contribution</w:t>
      </w:r>
    </w:p>
    <w:p>
      <w:pPr>
        <w:pStyle w:val="FirstParagraph"/>
      </w:pPr>
      <w:r>
        <w:t xml:space="preserve">Standing items you bring (per [[ADR-006]] §</w:t>
      </w:r>
      <w:r>
        <w:t xml:space="preserve">“Risk: partner becomes single point of failure”</w:t>
      </w:r>
      <w:r>
        <w:t xml:space="preserve"> </w:t>
      </w:r>
      <w:r>
        <w:t xml:space="preserve">+ MSA §5.4):</w:t>
      </w:r>
    </w:p>
    <w:p>
      <w:pPr>
        <w:pStyle w:val="Compact"/>
        <w:numPr>
          <w:ilvl w:val="0"/>
          <w:numId w:val="1006"/>
        </w:numPr>
      </w:pPr>
      <w:r>
        <w:t xml:space="preserve">SLA hit-rate from your side (G5 turnaround across all live matters)</w:t>
      </w:r>
    </w:p>
    <w:p>
      <w:pPr>
        <w:pStyle w:val="Compact"/>
        <w:numPr>
          <w:ilvl w:val="0"/>
          <w:numId w:val="1006"/>
        </w:numPr>
      </w:pPr>
      <w:r>
        <w:t xml:space="preserve">Quality events your side observed in Interlegal’s G4 deliverables (politely framed)</w:t>
      </w:r>
    </w:p>
    <w:p>
      <w:pPr>
        <w:pStyle w:val="Compact"/>
        <w:numPr>
          <w:ilvl w:val="0"/>
          <w:numId w:val="1006"/>
        </w:numPr>
      </w:pPr>
      <w:r>
        <w:t xml:space="preserve">Fee-to-scope mapping — are any SOWs underwater? Any candidates for re-banding next quarter?</w:t>
      </w:r>
    </w:p>
    <w:p>
      <w:pPr>
        <w:pStyle w:val="Compact"/>
        <w:numPr>
          <w:ilvl w:val="0"/>
          <w:numId w:val="1006"/>
        </w:numPr>
      </w:pPr>
      <w:r>
        <w:t xml:space="preserve">Capacity outlook — any expected over-commitment or principal-staff change?</w:t>
      </w:r>
    </w:p>
    <w:p>
      <w:pPr>
        <w:pStyle w:val="Compact"/>
        <w:numPr>
          <w:ilvl w:val="0"/>
          <w:numId w:val="1006"/>
        </w:numPr>
      </w:pPr>
      <w:r>
        <w:t xml:space="preserve">Conflicts register update — newly identified or cleared</w:t>
      </w:r>
    </w:p>
    <w:p>
      <w:pPr>
        <w:pStyle w:val="Compact"/>
        <w:numPr>
          <w:ilvl w:val="0"/>
          <w:numId w:val="1006"/>
        </w:numPr>
      </w:pPr>
      <w:r>
        <w:t xml:space="preserve">Backup-partner posture (are you comfortable with the current backup partner identified?)</w:t>
      </w:r>
    </w:p>
    <w:bookmarkEnd w:id="16"/>
    <w:bookmarkStart w:id="17" w:name="annual-partner-economics-review"/>
    <w:p>
      <w:pPr>
        <w:pStyle w:val="Heading3"/>
      </w:pPr>
      <w:r>
        <w:t xml:space="preserve">2.4 Annual partner economics review</w:t>
      </w:r>
    </w:p>
    <w:p>
      <w:pPr>
        <w:pStyle w:val="FirstParagraph"/>
      </w:pPr>
      <w:r>
        <w:t xml:space="preserve">Once a year (January) you and Interlegal Engagement Partner sit for a deeper review. Agenda (per MSA §5.4):</w:t>
      </w:r>
    </w:p>
    <w:p>
      <w:pPr>
        <w:pStyle w:val="Compact"/>
        <w:numPr>
          <w:ilvl w:val="0"/>
          <w:numId w:val="1007"/>
        </w:numPr>
      </w:pPr>
      <w:r>
        <w:t xml:space="preserve">Year’s matters in volume + value</w:t>
      </w:r>
    </w:p>
    <w:p>
      <w:pPr>
        <w:pStyle w:val="Compact"/>
        <w:numPr>
          <w:ilvl w:val="0"/>
          <w:numId w:val="1007"/>
        </w:numPr>
      </w:pPr>
      <w:r>
        <w:t xml:space="preserve">Fee bands — were the actual matters in-band? Outliers?</w:t>
      </w:r>
    </w:p>
    <w:p>
      <w:pPr>
        <w:pStyle w:val="Compact"/>
        <w:numPr>
          <w:ilvl w:val="0"/>
          <w:numId w:val="1007"/>
        </w:numPr>
      </w:pPr>
      <w:r>
        <w:t xml:space="preserve">Re-banding proposal (forward-looking; live SOWs stay on old terms unless amended)</w:t>
      </w:r>
    </w:p>
    <w:p>
      <w:pPr>
        <w:pStyle w:val="Compact"/>
        <w:numPr>
          <w:ilvl w:val="0"/>
          <w:numId w:val="1007"/>
        </w:numPr>
      </w:pPr>
      <w:r>
        <w:t xml:space="preserve">Exclusivity renewal proposal (initial 18 months → renewal? terms?)</w:t>
      </w:r>
    </w:p>
    <w:p>
      <w:pPr>
        <w:pStyle w:val="Compact"/>
        <w:numPr>
          <w:ilvl w:val="0"/>
          <w:numId w:val="1007"/>
        </w:numPr>
      </w:pPr>
      <w:r>
        <w:t xml:space="preserve">Cure / re-attestation log — anything outstanding?</w:t>
      </w:r>
    </w:p>
    <w:p>
      <w:pPr>
        <w:pStyle w:val="Compact"/>
        <w:numPr>
          <w:ilvl w:val="0"/>
          <w:numId w:val="1007"/>
        </w:numPr>
      </w:pPr>
      <w:r>
        <w:t xml:space="preserve">Backup-partner refresh (you are notified of any change)</w:t>
      </w:r>
    </w:p>
    <w:p>
      <w:pPr>
        <w:pStyle w:val="Compact"/>
        <w:numPr>
          <w:ilvl w:val="0"/>
          <w:numId w:val="1007"/>
        </w:numPr>
      </w:pPr>
      <w:r>
        <w:t xml:space="preserve">Roadmap conversation — Sprint plan from Interlegal side, your firm’s plan</w:t>
      </w:r>
    </w:p>
    <w:p>
      <w:r>
        <w:pict>
          <v:rect style="width:0;height:1.5pt" o:hralign="center" o:hrstd="t" o:hr="t"/>
        </w:pict>
      </w:r>
    </w:p>
    <w:bookmarkEnd w:id="17"/>
    <w:bookmarkEnd w:id="18"/>
    <w:bookmarkStart w:id="24" w:name="Xe3c9fdf6e4c7ddd572af15eccb444f360879c7f"/>
    <w:p>
      <w:pPr>
        <w:pStyle w:val="Heading2"/>
      </w:pPr>
      <w:r>
        <w:t xml:space="preserve">Block 3 — Economic mechanisms + dispute resolution (≈ 90 min)</w:t>
      </w:r>
    </w:p>
    <w:bookmarkStart w:id="19" w:name="read-order-2"/>
    <w:p>
      <w:pPr>
        <w:pStyle w:val="Heading3"/>
      </w:pPr>
      <w:r>
        <w:t xml:space="preserve">3.1 Read order</w:t>
      </w:r>
    </w:p>
    <w:p>
      <w:pPr>
        <w:pStyle w:val="Compact"/>
        <w:numPr>
          <w:ilvl w:val="0"/>
          <w:numId w:val="1008"/>
        </w:numPr>
      </w:pPr>
      <w:r>
        <w:t xml:space="preserve">[[ADR-006]] §</w:t>
      </w:r>
      <w:r>
        <w:t xml:space="preserve">“Partner economics”</w:t>
      </w:r>
      <w:r>
        <w:t xml:space="preserve"> </w:t>
      </w:r>
      <w:r>
        <w:t xml:space="preserve">— fee bands by deliverable;</w:t>
      </w:r>
      <w:r>
        <w:t xml:space="preserve"> </w:t>
      </w:r>
      <w:r>
        <w:rPr>
          <w:b/>
          <w:bCs/>
        </w:rPr>
        <w:t xml:space="preserve">no profit-share, no batching discount, no client-direct contact</w:t>
      </w:r>
      <w:r>
        <w:t xml:space="preserve">.</w:t>
      </w:r>
    </w:p>
    <w:p>
      <w:pPr>
        <w:pStyle w:val="Compact"/>
        <w:numPr>
          <w:ilvl w:val="0"/>
          <w:numId w:val="1009"/>
        </w:numPr>
      </w:pPr>
      <w:r>
        <w:t xml:space="preserve">[[19-master-services-agreement]]</w:t>
      </w:r>
      <w:r>
        <w:t xml:space="preserve"> </w:t>
      </w:r>
      <w:r>
        <w:rPr>
          <w:b/>
          <w:bCs/>
        </w:rPr>
        <w:t xml:space="preserve">§§ 4–5, 7, 12</w:t>
      </w:r>
      <w:r>
        <w:t xml:space="preserve"> </w:t>
      </w:r>
      <w:r>
        <w:t xml:space="preserve">— SOW process, fees framework, conflicts, liability/insurance.</w:t>
      </w:r>
    </w:p>
    <w:bookmarkEnd w:id="19"/>
    <w:bookmarkStart w:id="20" w:name="Xbfd12cf81096e221238ebc3e0e01c51e8358c05"/>
    <w:p>
      <w:pPr>
        <w:pStyle w:val="Heading3"/>
      </w:pPr>
      <w:r>
        <w:t xml:space="preserve">3.2 Why the fee architecture looks the way it does</w:t>
      </w:r>
    </w:p>
    <w:p>
      <w:pPr>
        <w:pStyle w:val="Compact"/>
        <w:numPr>
          <w:ilvl w:val="0"/>
          <w:numId w:val="1010"/>
        </w:numPr>
      </w:pPr>
      <w:r>
        <w:rPr>
          <w:b/>
          <w:bCs/>
        </w:rPr>
        <w:t xml:space="preserve">Fixed-fee per matter</w:t>
      </w:r>
      <w:r>
        <w:t xml:space="preserve"> </w:t>
      </w:r>
      <w:r>
        <w:t xml:space="preserve">(not T&amp;M default) — because Cyprus IP Box matters have predictable shape; T&amp;M creates incentive to expand scope; client price-certainty is a competitive feature for Interlegal.</w:t>
      </w:r>
    </w:p>
    <w:p>
      <w:pPr>
        <w:pStyle w:val="Compact"/>
        <w:numPr>
          <w:ilvl w:val="0"/>
          <w:numId w:val="1010"/>
        </w:numPr>
      </w:pPr>
      <w:r>
        <w:rPr>
          <w:b/>
          <w:bCs/>
        </w:rPr>
        <w:t xml:space="preserve">No share of upside</w:t>
      </w:r>
      <w:r>
        <w:t xml:space="preserve"> </w:t>
      </w:r>
      <w:r>
        <w:t xml:space="preserve">— to keep the relationship clean across many clients; preserves your independence from any single client’s outcome.</w:t>
      </w:r>
    </w:p>
    <w:p>
      <w:pPr>
        <w:pStyle w:val="Compact"/>
        <w:numPr>
          <w:ilvl w:val="0"/>
          <w:numId w:val="1010"/>
        </w:numPr>
      </w:pPr>
      <w:r>
        <w:rPr>
          <w:b/>
          <w:bCs/>
        </w:rPr>
        <w:t xml:space="preserve">No batching discount</w:t>
      </w:r>
      <w:r>
        <w:t xml:space="preserve"> </w:t>
      </w:r>
      <w:r>
        <w:t xml:space="preserve">— to prevent quality degradation when matter volume rises; each matter is a discrete professional engagement.</w:t>
      </w:r>
    </w:p>
    <w:p>
      <w:pPr>
        <w:pStyle w:val="Compact"/>
        <w:numPr>
          <w:ilvl w:val="0"/>
          <w:numId w:val="1010"/>
        </w:numPr>
      </w:pPr>
      <w:r>
        <w:rPr>
          <w:b/>
          <w:bCs/>
        </w:rPr>
        <w:t xml:space="preserve">Quarterly re-banding</w:t>
      </w:r>
      <w:r>
        <w:t xml:space="preserve"> </w:t>
      </w:r>
      <w:r>
        <w:t xml:space="preserve">— fee bands track market + complexity. Re-banding affects</w:t>
      </w:r>
      <w:r>
        <w:t xml:space="preserve"> </w:t>
      </w:r>
      <w:r>
        <w:rPr>
          <w:b/>
          <w:bCs/>
        </w:rPr>
        <w:t xml:space="preserve">future</w:t>
      </w:r>
      <w:r>
        <w:t xml:space="preserve"> </w:t>
      </w:r>
      <w:r>
        <w:t xml:space="preserve">SOWs; live SOWs are protected.</w:t>
      </w:r>
    </w:p>
    <w:p>
      <w:pPr>
        <w:pStyle w:val="Compact"/>
        <w:numPr>
          <w:ilvl w:val="0"/>
          <w:numId w:val="1010"/>
        </w:numPr>
      </w:pPr>
      <w:r>
        <w:rPr>
          <w:b/>
          <w:bCs/>
        </w:rPr>
        <w:t xml:space="preserve">G6 coordination fee 10–15%</w:t>
      </w:r>
      <w:r>
        <w:t xml:space="preserve"> </w:t>
      </w:r>
      <w:r>
        <w:t xml:space="preserve">— only if you coordinate external counsel; not your default income line.</w:t>
      </w:r>
    </w:p>
    <w:bookmarkEnd w:id="20"/>
    <w:bookmarkStart w:id="21" w:name="re-banding-workflow"/>
    <w:p>
      <w:pPr>
        <w:pStyle w:val="Heading3"/>
      </w:pPr>
      <w:r>
        <w:t xml:space="preserve">3.3 Re-banding workflow</w:t>
      </w:r>
    </w:p>
    <w:p>
      <w:pPr>
        <w:pStyle w:val="FirstParagraph"/>
      </w:pPr>
      <w:r>
        <w:t xml:space="preserve">Either party proposes re-banding at quarterly review (MSA §5.4). The other party has 30 days to respond. Good-faith negotiation. Disagreement → escalation to annual review.</w:t>
      </w:r>
      <w:r>
        <w:t xml:space="preserve"> </w:t>
      </w:r>
      <w:r>
        <w:rPr>
          <w:b/>
          <w:bCs/>
        </w:rPr>
        <w:t xml:space="preserve">Two consecutive quarters of failed economics review = §13.2(d) termination ground.</w:t>
      </w:r>
    </w:p>
    <w:p>
      <w:pPr>
        <w:pStyle w:val="BodyText"/>
      </w:pPr>
      <w:r>
        <w:t xml:space="preserve">Practical tip: bring</w:t>
      </w:r>
      <w:r>
        <w:t xml:space="preserve"> </w:t>
      </w:r>
      <w:r>
        <w:rPr>
          <w:b/>
          <w:bCs/>
        </w:rPr>
        <w:t xml:space="preserve">data, not assertions</w:t>
      </w:r>
      <w:r>
        <w:t xml:space="preserve">, to re-banding. SOW-level time tracked + scope-overrun events + benchmarked market rates. Interlegal does the same.</w:t>
      </w:r>
    </w:p>
    <w:bookmarkEnd w:id="21"/>
    <w:bookmarkStart w:id="22" w:name="conflicts-of-interest-escalation-flow"/>
    <w:p>
      <w:pPr>
        <w:pStyle w:val="Heading3"/>
      </w:pPr>
      <w:r>
        <w:t xml:space="preserve">3.4 Conflicts of interest — escalation flow</w:t>
      </w:r>
    </w:p>
    <w:p>
      <w:pPr>
        <w:pStyle w:val="FirstParagraph"/>
      </w:pPr>
      <w:r>
        <w:t xml:space="preserve">Per MSA §7 + ADR-006 §</w:t>
      </w:r>
      <w:r>
        <w:t xml:space="preserve">“Anti-conflict”</w:t>
      </w:r>
      <w:r>
        <w:t xml:space="preserve">:</w:t>
      </w:r>
    </w:p>
    <w:p>
      <w:pPr>
        <w:pStyle w:val="Compact"/>
        <w:numPr>
          <w:ilvl w:val="0"/>
          <w:numId w:val="1011"/>
        </w:numPr>
      </w:pPr>
      <w:r>
        <w:t xml:space="preserve">New conflict identified → register update within 5 business days</w:t>
      </w:r>
    </w:p>
    <w:p>
      <w:pPr>
        <w:pStyle w:val="Compact"/>
        <w:numPr>
          <w:ilvl w:val="0"/>
          <w:numId w:val="1011"/>
        </w:numPr>
      </w:pPr>
      <w:r>
        <w:t xml:space="preserve">Notify Interlegal in writing → 5-business-day window</w:t>
      </w:r>
    </w:p>
    <w:p>
      <w:pPr>
        <w:pStyle w:val="Compact"/>
        <w:numPr>
          <w:ilvl w:val="0"/>
          <w:numId w:val="1011"/>
        </w:numPr>
      </w:pPr>
      <w:r>
        <w:rPr>
          <w:b/>
          <w:bCs/>
        </w:rPr>
        <w:t xml:space="preserve">48-hour rule</w:t>
      </w:r>
      <w:r>
        <w:t xml:space="preserve"> </w:t>
      </w:r>
      <w:r>
        <w:t xml:space="preserve">(ADR-006): if the conflict is a Partner-matter counterparty also being a Partner client, escalate to Interlegal within 48 hours of discovery</w:t>
      </w:r>
    </w:p>
    <w:p>
      <w:pPr>
        <w:pStyle w:val="Compact"/>
        <w:numPr>
          <w:ilvl w:val="0"/>
          <w:numId w:val="1011"/>
        </w:numPr>
      </w:pPr>
      <w:r>
        <w:t xml:space="preserve">Resolution options (MSA §7.4): withdraw from conflicting engagement | ethical wall | terminate the affected SOW(s)</w:t>
      </w:r>
    </w:p>
    <w:p>
      <w:pPr>
        <w:pStyle w:val="Compact"/>
        <w:numPr>
          <w:ilvl w:val="0"/>
          <w:numId w:val="1011"/>
        </w:numPr>
      </w:pPr>
      <w:r>
        <w:t xml:space="preserve">MSA continues unless a separate §13 termination event applies</w:t>
      </w:r>
    </w:p>
    <w:p>
      <w:pPr>
        <w:pStyle w:val="FirstParagraph"/>
      </w:pPr>
      <w:r>
        <w:t xml:space="preserve">Your authority: you sign the conflict register; your firm’s compliance officer maintains it; you brief Interlegal at the next forum.</w:t>
      </w:r>
    </w:p>
    <w:bookmarkEnd w:id="22"/>
    <w:bookmarkStart w:id="23" w:name="disagreement-resolution-g4-g5"/>
    <w:p>
      <w:pPr>
        <w:pStyle w:val="Heading3"/>
      </w:pPr>
      <w:r>
        <w:t xml:space="preserve">3.5 Disagreement resolution (G4 ≠ G5)</w:t>
      </w:r>
    </w:p>
    <w:p>
      <w:pPr>
        <w:pStyle w:val="FirstParagraph"/>
      </w:pPr>
      <w:r>
        <w:t xml:space="preserve">Per [[ADR-005]] G0-G6 + Trek 05 G5 mechanics: if you (G5) disagree with Interlegal Senior (G4):</w:t>
      </w:r>
    </w:p>
    <w:p>
      <w:pPr>
        <w:pStyle w:val="Compact"/>
        <w:numPr>
          <w:ilvl w:val="0"/>
          <w:numId w:val="1012"/>
        </w:numPr>
      </w:pPr>
      <w:r>
        <w:t xml:space="preserve">Document your view in the matter cockpit’s G5 sign-block</w:t>
      </w:r>
    </w:p>
    <w:p>
      <w:pPr>
        <w:pStyle w:val="Compact"/>
        <w:numPr>
          <w:ilvl w:val="0"/>
          <w:numId w:val="1012"/>
        </w:numPr>
      </w:pPr>
      <w:r>
        <w:t xml:space="preserve">Escalate to weekly joint cadence; if unresolved, monthly forum; if unresolved, trigger G6 (external second-review)</w:t>
      </w:r>
    </w:p>
    <w:p>
      <w:pPr>
        <w:pStyle w:val="Compact"/>
        <w:numPr>
          <w:ilvl w:val="0"/>
          <w:numId w:val="1012"/>
        </w:numPr>
      </w:pPr>
      <w:r>
        <w:rPr>
          <w:b/>
          <w:bCs/>
        </w:rPr>
        <w:t xml:space="preserve">Never</w:t>
      </w:r>
      <w:r>
        <w:t xml:space="preserve"> </w:t>
      </w:r>
      <w:r>
        <w:t xml:space="preserve">silently sign-off with a different interpretation. The audit trail must show the disagreement.</w:t>
      </w:r>
    </w:p>
    <w:p>
      <w:pPr>
        <w:pStyle w:val="Compact"/>
        <w:numPr>
          <w:ilvl w:val="0"/>
          <w:numId w:val="1012"/>
        </w:numPr>
      </w:pPr>
      <w:r>
        <w:t xml:space="preserve">If a single matter triggers 2+ G6 escalations, automatic quarterly-review agenda item</w:t>
      </w:r>
    </w:p>
    <w:p>
      <w:pPr>
        <w:pStyle w:val="FirstParagraph"/>
      </w:pPr>
      <w:r>
        <w:t xml:space="preserve">Your professional override (MSA §11.2) is always available — Interlegal cannot direct you to act against your regulator’s rules.</w:t>
      </w:r>
    </w:p>
    <w:p>
      <w:r>
        <w:pict>
          <v:rect style="width:0;height:1.5pt" o:hralign="center" o:hrstd="t" o:hr="t"/>
        </w:pict>
      </w:r>
    </w:p>
    <w:bookmarkEnd w:id="23"/>
    <w:bookmarkEnd w:id="24"/>
    <w:bookmarkStart w:id="31" w:name="block-4-lifecycle-scenarios-90-min"/>
    <w:p>
      <w:pPr>
        <w:pStyle w:val="Heading2"/>
      </w:pPr>
      <w:r>
        <w:t xml:space="preserve">Block 4 — Lifecycle scenarios (≈ 90 min)</w:t>
      </w:r>
    </w:p>
    <w:bookmarkStart w:id="25" w:name="first-90-days-post-msa"/>
    <w:p>
      <w:pPr>
        <w:pStyle w:val="Heading3"/>
      </w:pPr>
      <w:r>
        <w:t xml:space="preserve">4.1 First 90 days post-MSA</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Day window</w:t>
            </w:r>
          </w:p>
        </w:tc>
        <w:tc>
          <w:tcPr/>
          <w:p>
            <w:pPr>
              <w:pStyle w:val="Compact"/>
            </w:pPr>
            <w:r>
              <w:t xml:space="preserve">Event</w:t>
            </w:r>
          </w:p>
        </w:tc>
        <w:tc>
          <w:tcPr/>
          <w:p>
            <w:pPr>
              <w:pStyle w:val="Compact"/>
            </w:pPr>
            <w:r>
              <w:t xml:space="preserve">Your action</w:t>
            </w:r>
          </w:p>
        </w:tc>
      </w:tr>
      <w:tr>
        <w:tc>
          <w:tcPr/>
          <w:p>
            <w:pPr>
              <w:pStyle w:val="Compact"/>
            </w:pPr>
            <w:r>
              <w:t xml:space="preserve">Day 0 (signing)</w:t>
            </w:r>
          </w:p>
        </w:tc>
        <w:tc>
          <w:tcPr/>
          <w:p>
            <w:pPr>
              <w:pStyle w:val="Compact"/>
            </w:pPr>
            <w:r>
              <w:t xml:space="preserve">MSA + SOW v1 countersigned; folder created in O365</w:t>
            </w:r>
          </w:p>
        </w:tc>
        <w:tc>
          <w:tcPr/>
          <w:p>
            <w:pPr>
              <w:pStyle w:val="Compact"/>
            </w:pPr>
            <w:r>
              <w:t xml:space="preserve">Receive partner-folder access; confirm Annex 4 PII certificate filed</w:t>
            </w:r>
          </w:p>
        </w:tc>
      </w:tr>
      <w:tr>
        <w:tc>
          <w:tcPr/>
          <w:p>
            <w:pPr>
              <w:pStyle w:val="Compact"/>
            </w:pPr>
            <w:r>
              <w:t xml:space="preserve">Day 1–5</w:t>
            </w:r>
          </w:p>
        </w:tc>
        <w:tc>
          <w:tcPr/>
          <w:p>
            <w:pPr>
              <w:pStyle w:val="Compact"/>
            </w:pPr>
            <w:r>
              <w:t xml:space="preserve">Joint cadence onboarding</w:t>
            </w:r>
          </w:p>
        </w:tc>
        <w:tc>
          <w:tcPr/>
          <w:p>
            <w:pPr>
              <w:pStyle w:val="Compact"/>
            </w:pPr>
            <w:r>
              <w:t xml:space="preserve">Confirm calendar invites; nominate your staff Trek 05 cohort</w:t>
            </w:r>
          </w:p>
        </w:tc>
      </w:tr>
      <w:tr>
        <w:tc>
          <w:tcPr/>
          <w:p>
            <w:pPr>
              <w:pStyle w:val="Compact"/>
            </w:pPr>
            <w:r>
              <w:t xml:space="preserve">Day 5–30</w:t>
            </w:r>
          </w:p>
        </w:tc>
        <w:tc>
          <w:tcPr/>
          <w:p>
            <w:pPr>
              <w:pStyle w:val="Compact"/>
            </w:pPr>
            <w:r>
              <w:t xml:space="preserve">First weekly G4/G5 calls (3–4 cycles)</w:t>
            </w:r>
          </w:p>
        </w:tc>
        <w:tc>
          <w:tcPr/>
          <w:p>
            <w:pPr>
              <w:pStyle w:val="Compact"/>
            </w:pPr>
            <w:r>
              <w:t xml:space="preserve">Attend at least 1; observe handoff mechanics; identify staff slot owners</w:t>
            </w:r>
          </w:p>
        </w:tc>
      </w:tr>
      <w:tr>
        <w:tc>
          <w:tcPr/>
          <w:p>
            <w:pPr>
              <w:pStyle w:val="Compact"/>
            </w:pPr>
            <w:r>
              <w:t xml:space="preserve">Day 30</w:t>
            </w:r>
          </w:p>
        </w:tc>
        <w:tc>
          <w:tcPr/>
          <w:p>
            <w:pPr>
              <w:pStyle w:val="Compact"/>
            </w:pPr>
            <w:r>
              <w:t xml:space="preserve">First monthly cross-firm calibration</w:t>
            </w:r>
          </w:p>
        </w:tc>
        <w:tc>
          <w:tcPr/>
          <w:p>
            <w:pPr>
              <w:pStyle w:val="Compact"/>
            </w:pPr>
            <w:r>
              <w:t xml:space="preserve">You chair Cyprus side; bring conflicts-register update; agree first quarterly retro date</w:t>
            </w:r>
          </w:p>
        </w:tc>
      </w:tr>
      <w:tr>
        <w:tc>
          <w:tcPr/>
          <w:p>
            <w:pPr>
              <w:pStyle w:val="Compact"/>
            </w:pPr>
            <w:r>
              <w:t xml:space="preserve">Day 30–60</w:t>
            </w:r>
          </w:p>
        </w:tc>
        <w:tc>
          <w:tcPr/>
          <w:p>
            <w:pPr>
              <w:pStyle w:val="Compact"/>
            </w:pPr>
            <w:r>
              <w:t xml:space="preserve">First real-matter G0 → G3</w:t>
            </w:r>
          </w:p>
        </w:tc>
        <w:tc>
          <w:tcPr/>
          <w:p>
            <w:pPr>
              <w:pStyle w:val="Compact"/>
            </w:pPr>
            <w:r>
              <w:t xml:space="preserve">Track from your side; review Interlegal Senior’s evidence pack; surface gaps early not at G5</w:t>
            </w:r>
          </w:p>
        </w:tc>
      </w:tr>
      <w:tr>
        <w:tc>
          <w:tcPr/>
          <w:p>
            <w:pPr>
              <w:pStyle w:val="Compact"/>
            </w:pPr>
            <w:r>
              <w:t xml:space="preserve">Day 60–90</w:t>
            </w:r>
          </w:p>
        </w:tc>
        <w:tc>
          <w:tcPr/>
          <w:p>
            <w:pPr>
              <w:pStyle w:val="Compact"/>
            </w:pPr>
            <w:r>
              <w:t xml:space="preserve">First real-matter G4 → G5</w:t>
            </w:r>
          </w:p>
        </w:tc>
        <w:tc>
          <w:tcPr/>
          <w:p>
            <w:pPr>
              <w:pStyle w:val="Compact"/>
            </w:pPr>
            <w:r>
              <w:t xml:space="preserve">Your first live G5 sign-off (typically joint-supervised); ICPAC + Bar + Tax-advisor sign per ownership matrix</w:t>
            </w:r>
          </w:p>
        </w:tc>
      </w:tr>
      <w:tr>
        <w:tc>
          <w:tcPr/>
          <w:p>
            <w:pPr>
              <w:pStyle w:val="Compact"/>
            </w:pPr>
            <w:r>
              <w:t xml:space="preserve">Day 90</w:t>
            </w:r>
          </w:p>
        </w:tc>
        <w:tc>
          <w:tcPr/>
          <w:p>
            <w:pPr>
              <w:pStyle w:val="Compact"/>
            </w:pPr>
            <w:r>
              <w:t xml:space="preserve">Backup-partner identification (your side) — see §8.1</w:t>
            </w:r>
          </w:p>
        </w:tc>
        <w:tc>
          <w:tcPr/>
          <w:p>
            <w:pPr>
              <w:pStyle w:val="Compact"/>
            </w:pPr>
            <w:r>
              <w:t xml:space="preserve">Confirm to Interlegal who, in your firm or affiliate constellation, is the partner-of-last-resort.</w:t>
            </w:r>
            <w:r>
              <w:t xml:space="preserve"> </w:t>
            </w:r>
            <w:r>
              <w:rPr>
                <w:b/>
                <w:bCs/>
              </w:rPr>
              <w:t xml:space="preserve">You</w:t>
            </w:r>
            <w:r>
              <w:t xml:space="preserve"> </w:t>
            </w:r>
            <w:r>
              <w:t xml:space="preserve">are not the backup; your firm is the primary</w:t>
            </w:r>
          </w:p>
        </w:tc>
      </w:tr>
    </w:tbl>
    <w:bookmarkEnd w:id="25"/>
    <w:bookmarkStart w:id="26" w:name="the-everything-goes-well-12-month-path"/>
    <w:p>
      <w:pPr>
        <w:pStyle w:val="Heading3"/>
      </w:pPr>
      <w:r>
        <w:t xml:space="preserve">4.2 The</w:t>
      </w:r>
      <w:r>
        <w:t xml:space="preserve"> </w:t>
      </w:r>
      <w:r>
        <w:t xml:space="preserve">“everything goes well”</w:t>
      </w:r>
      <w:r>
        <w:t xml:space="preserve"> </w:t>
      </w:r>
      <w:r>
        <w:t xml:space="preserve">12-month path</w:t>
      </w:r>
    </w:p>
    <w:p>
      <w:pPr>
        <w:pStyle w:val="Compact"/>
        <w:numPr>
          <w:ilvl w:val="0"/>
          <w:numId w:val="1013"/>
        </w:numPr>
      </w:pPr>
      <w:r>
        <w:t xml:space="preserve">4–6 matters delivered through G5 on standard SLA</w:t>
      </w:r>
    </w:p>
    <w:p>
      <w:pPr>
        <w:pStyle w:val="Compact"/>
        <w:numPr>
          <w:ilvl w:val="0"/>
          <w:numId w:val="1013"/>
        </w:numPr>
      </w:pPr>
      <w:r>
        <w:t xml:space="preserve">Annual re-attestation (Annex 5) returned without exceptions</w:t>
      </w:r>
    </w:p>
    <w:p>
      <w:pPr>
        <w:pStyle w:val="Compact"/>
        <w:numPr>
          <w:ilvl w:val="0"/>
          <w:numId w:val="1013"/>
        </w:numPr>
      </w:pPr>
      <w:r>
        <w:t xml:space="preserve">Exclusivity initial 18-month period passes; renewal proposed at annual review</w:t>
      </w:r>
    </w:p>
    <w:p>
      <w:pPr>
        <w:pStyle w:val="Compact"/>
        <w:numPr>
          <w:ilvl w:val="0"/>
          <w:numId w:val="1013"/>
        </w:numPr>
      </w:pPr>
      <w:r>
        <w:t xml:space="preserve">Quarterly retros routine; no §13.2 trigger fired</w:t>
      </w:r>
    </w:p>
    <w:p>
      <w:pPr>
        <w:pStyle w:val="Compact"/>
        <w:numPr>
          <w:ilvl w:val="0"/>
          <w:numId w:val="1013"/>
        </w:numPr>
      </w:pPr>
      <w:r>
        <w:t xml:space="preserve">January annual economics review re-bands two deliverables upward (based on actual complexity); both sides sign within 30 days</w:t>
      </w:r>
    </w:p>
    <w:p>
      <w:pPr>
        <w:pStyle w:val="Compact"/>
        <w:numPr>
          <w:ilvl w:val="0"/>
          <w:numId w:val="1013"/>
        </w:numPr>
      </w:pPr>
      <w:r>
        <w:t xml:space="preserve">Year 2 SOW backlog continues seamlessly</w:t>
      </w:r>
    </w:p>
    <w:bookmarkEnd w:id="26"/>
    <w:bookmarkStart w:id="27" w:name="the-warranty-degrades-mid-term-path"/>
    <w:p>
      <w:pPr>
        <w:pStyle w:val="Heading3"/>
      </w:pPr>
      <w:r>
        <w:t xml:space="preserve">4.3 The</w:t>
      </w:r>
      <w:r>
        <w:t xml:space="preserve"> </w:t>
      </w:r>
      <w:r>
        <w:t xml:space="preserve">“warranty degrades mid-term”</w:t>
      </w:r>
      <w:r>
        <w:t xml:space="preserve"> </w:t>
      </w:r>
      <w:r>
        <w:t xml:space="preserve">path</w:t>
      </w:r>
    </w:p>
    <w:p>
      <w:pPr>
        <w:pStyle w:val="FirstParagraph"/>
      </w:pPr>
      <w:r>
        <w:t xml:space="preserve">Suppose W-2 (named Bar member) departs in Month 7.</w:t>
      </w:r>
    </w:p>
    <w:p>
      <w:pPr>
        <w:pStyle w:val="Compact"/>
        <w:numPr>
          <w:ilvl w:val="0"/>
          <w:numId w:val="1014"/>
        </w:numPr>
      </w:pPr>
      <w:r>
        <w:t xml:space="preserve">Day 0 (you become aware) → 10-business-day notification window (MSA §3.2)</w:t>
      </w:r>
    </w:p>
    <w:p>
      <w:pPr>
        <w:pStyle w:val="Compact"/>
        <w:numPr>
          <w:ilvl w:val="0"/>
          <w:numId w:val="1014"/>
        </w:numPr>
      </w:pPr>
      <w:r>
        <w:t xml:space="preserve">Day 10 → notification filed; cure plan documented (replacement hire / affiliate Bar firm engagement / Constellation A → B transition)</w:t>
      </w:r>
    </w:p>
    <w:p>
      <w:pPr>
        <w:pStyle w:val="Compact"/>
        <w:numPr>
          <w:ilvl w:val="0"/>
          <w:numId w:val="1014"/>
        </w:numPr>
      </w:pPr>
      <w:r>
        <w:t xml:space="preserve">Day 10–40 → 30-day cure (MSA §3.3); regular cadence calls track progress</w:t>
      </w:r>
    </w:p>
    <w:p>
      <w:pPr>
        <w:pStyle w:val="Compact"/>
        <w:numPr>
          <w:ilvl w:val="0"/>
          <w:numId w:val="1014"/>
        </w:numPr>
      </w:pPr>
      <w:r>
        <w:t xml:space="preserve">Day 40 → if cured, normal operation resumes; if not, MSA §13.2(b) cause-termination available to Interlegal</w:t>
      </w:r>
    </w:p>
    <w:p>
      <w:pPr>
        <w:pStyle w:val="Compact"/>
        <w:numPr>
          <w:ilvl w:val="0"/>
          <w:numId w:val="1014"/>
        </w:numPr>
      </w:pPr>
      <w:r>
        <w:t xml:space="preserve">During cure, live SOWs continue; new SOWs paused until cure or §13 path resolved</w:t>
      </w:r>
    </w:p>
    <w:bookmarkEnd w:id="27"/>
    <w:bookmarkStart w:id="28" w:name="the-backup-partner-activates-path"/>
    <w:p>
      <w:pPr>
        <w:pStyle w:val="Heading3"/>
      </w:pPr>
      <w:r>
        <w:t xml:space="preserve">4.4 The</w:t>
      </w:r>
      <w:r>
        <w:t xml:space="preserve"> </w:t>
      </w:r>
      <w:r>
        <w:t xml:space="preserve">“backup partner activates”</w:t>
      </w:r>
      <w:r>
        <w:t xml:space="preserve"> </w:t>
      </w:r>
      <w:r>
        <w:t xml:space="preserve">path</w:t>
      </w:r>
    </w:p>
    <w:p>
      <w:pPr>
        <w:pStyle w:val="FirstParagraph"/>
      </w:pPr>
      <w:r>
        <w:t xml:space="preserve">Triggers under MSA §8.4 — most likely (a) insolvency, (b) loss of licence + failed cure, (c) GDPR / sanctions incident, (d) 2+ live-SOW milestone misses in 6 months, (e) 2 consecutive failed quarterly metric thresholds (Annex 9), (f) your termination-for-convenience.</w:t>
      </w:r>
    </w:p>
    <w:p>
      <w:pPr>
        <w:pStyle w:val="BodyText"/>
      </w:pPr>
      <w:r>
        <w:t xml:space="preserve">When activated:</w:t>
      </w:r>
    </w:p>
    <w:p>
      <w:pPr>
        <w:pStyle w:val="Compact"/>
        <w:numPr>
          <w:ilvl w:val="0"/>
          <w:numId w:val="1015"/>
        </w:numPr>
      </w:pPr>
      <w:r>
        <w:rPr>
          <w:b/>
          <w:bCs/>
        </w:rPr>
        <w:t xml:space="preserve">New matters</w:t>
      </w:r>
      <w:r>
        <w:t xml:space="preserve"> </w:t>
      </w:r>
      <w:r>
        <w:t xml:space="preserve">route to the backup partner (separate SOWs under separate MSAs)</w:t>
      </w:r>
    </w:p>
    <w:p>
      <w:pPr>
        <w:pStyle w:val="Compact"/>
        <w:numPr>
          <w:ilvl w:val="0"/>
          <w:numId w:val="1015"/>
        </w:numPr>
      </w:pPr>
      <w:r>
        <w:rPr>
          <w:b/>
          <w:bCs/>
        </w:rPr>
        <w:t xml:space="preserve">Live SOWs</w:t>
      </w:r>
      <w:r>
        <w:t xml:space="preserve"> </w:t>
      </w:r>
      <w:r>
        <w:t xml:space="preserve">with you continue to completion unless separately terminated</w:t>
      </w:r>
    </w:p>
    <w:p>
      <w:pPr>
        <w:pStyle w:val="Compact"/>
        <w:numPr>
          <w:ilvl w:val="0"/>
          <w:numId w:val="1015"/>
        </w:numPr>
      </w:pPr>
      <w:r>
        <w:t xml:space="preserve">Exclusivity §6 does not bar Interlegal here (backup-regime carve-out at §6.1(b))</w:t>
      </w:r>
    </w:p>
    <w:p>
      <w:pPr>
        <w:pStyle w:val="Compact"/>
        <w:numPr>
          <w:ilvl w:val="0"/>
          <w:numId w:val="1015"/>
        </w:numPr>
      </w:pPr>
      <w:r>
        <w:t xml:space="preserve">You cooperate in good-faith handover (MSA §13.4(c)) — one call per matter + 30 days of email follow-up, at Interlegal’s cost</w:t>
      </w:r>
    </w:p>
    <w:bookmarkEnd w:id="28"/>
    <w:bookmarkStart w:id="29" w:name="termination-scenarios"/>
    <w:p>
      <w:pPr>
        <w:pStyle w:val="Heading3"/>
      </w:pPr>
      <w:r>
        <w:t xml:space="preserve">4.5 Termination scenarios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Path</w:t>
            </w:r>
          </w:p>
        </w:tc>
        <w:tc>
          <w:tcPr/>
          <w:p>
            <w:pPr>
              <w:pStyle w:val="Compact"/>
            </w:pPr>
            <w:r>
              <w:t xml:space="preserve">Trigger</w:t>
            </w:r>
          </w:p>
        </w:tc>
        <w:tc>
          <w:tcPr/>
          <w:p>
            <w:pPr>
              <w:pStyle w:val="Compact"/>
            </w:pPr>
            <w:r>
              <w:t xml:space="preserve">Notice</w:t>
            </w:r>
          </w:p>
        </w:tc>
        <w:tc>
          <w:tcPr/>
          <w:p>
            <w:pPr>
              <w:pStyle w:val="Compact"/>
            </w:pPr>
            <w:r>
              <w:t xml:space="preserve">Live SOWs</w:t>
            </w:r>
          </w:p>
        </w:tc>
      </w:tr>
      <w:tr>
        <w:tc>
          <w:tcPr/>
          <w:p>
            <w:pPr>
              <w:pStyle w:val="Compact"/>
            </w:pPr>
            <w:r>
              <w:t xml:space="preserve">Termination for cause — Interlegal</w:t>
            </w:r>
          </w:p>
        </w:tc>
        <w:tc>
          <w:tcPr/>
          <w:p>
            <w:pPr>
              <w:pStyle w:val="Compact"/>
            </w:pPr>
            <w:r>
              <w:t xml:space="preserve">MSA §13.2 (breach uncured; warranty lapsed; refusal of §4.5 amendment; failed economics; licence loss; insolvency; uncurable conflict)</w:t>
            </w:r>
          </w:p>
        </w:tc>
        <w:tc>
          <w:tcPr/>
          <w:p>
            <w:pPr>
              <w:pStyle w:val="Compact"/>
            </w:pPr>
            <w:r>
              <w:t xml:space="preserve">Immediate on cause</w:t>
            </w:r>
          </w:p>
        </w:tc>
        <w:tc>
          <w:tcPr/>
          <w:p>
            <w:pPr>
              <w:pStyle w:val="Compact"/>
            </w:pPr>
            <w:r>
              <w:t xml:space="preserve">Continue to completion unless terminated per their own §11</w:t>
            </w:r>
          </w:p>
        </w:tc>
      </w:tr>
      <w:tr>
        <w:tc>
          <w:tcPr/>
          <w:p>
            <w:pPr>
              <w:pStyle w:val="Compact"/>
            </w:pPr>
            <w:r>
              <w:t xml:space="preserve">Termination for cause — Cyprus partner</w:t>
            </w:r>
          </w:p>
        </w:tc>
        <w:tc>
          <w:tcPr/>
          <w:p>
            <w:pPr>
              <w:pStyle w:val="Compact"/>
            </w:pPr>
            <w:r>
              <w:t xml:space="preserve">MSA §13.2 (Interlegal-side material breach; insolvency; uncurable conflict)</w:t>
            </w:r>
          </w:p>
        </w:tc>
        <w:tc>
          <w:tcPr/>
          <w:p>
            <w:pPr>
              <w:pStyle w:val="Compact"/>
            </w:pPr>
            <w:r>
              <w:t xml:space="preserve">Immediate on cause</w:t>
            </w:r>
          </w:p>
        </w:tc>
        <w:tc>
          <w:tcPr/>
          <w:p>
            <w:pPr>
              <w:pStyle w:val="Compact"/>
            </w:pPr>
            <w:r>
              <w:t xml:space="preserve">Continue to completion</w:t>
            </w:r>
          </w:p>
        </w:tc>
      </w:tr>
      <w:tr>
        <w:tc>
          <w:tcPr/>
          <w:p>
            <w:pPr>
              <w:pStyle w:val="Compact"/>
            </w:pPr>
            <w:r>
              <w:t xml:space="preserve">Termination for convenience — either side</w:t>
            </w:r>
          </w:p>
        </w:tc>
        <w:tc>
          <w:tcPr/>
          <w:p>
            <w:pPr>
              <w:pStyle w:val="Compact"/>
            </w:pPr>
            <w:r>
              <w:t xml:space="preserve">After Month 12</w:t>
            </w:r>
          </w:p>
        </w:tc>
        <w:tc>
          <w:tcPr/>
          <w:p>
            <w:pPr>
              <w:pStyle w:val="Compact"/>
            </w:pPr>
            <w:r>
              <w:t xml:space="preserve">180 days</w:t>
            </w:r>
          </w:p>
        </w:tc>
        <w:tc>
          <w:tcPr/>
          <w:p>
            <w:pPr>
              <w:pStyle w:val="Compact"/>
            </w:pPr>
            <w:r>
              <w:t xml:space="preserve">Continue; backup-partner activated for new matters during notice</w:t>
            </w:r>
          </w:p>
        </w:tc>
      </w:tr>
      <w:tr>
        <w:tc>
          <w:tcPr/>
          <w:p>
            <w:pPr>
              <w:pStyle w:val="Compact"/>
            </w:pPr>
            <w:r>
              <w:t xml:space="preserve">Non-renewal</w:t>
            </w:r>
          </w:p>
        </w:tc>
        <w:tc>
          <w:tcPr/>
          <w:p>
            <w:pPr>
              <w:pStyle w:val="Compact"/>
            </w:pPr>
            <w:r>
              <w:t xml:space="preserve">MSA initial term + 180-days non-renewal notice</w:t>
            </w:r>
          </w:p>
        </w:tc>
        <w:tc>
          <w:tcPr/>
          <w:p>
            <w:pPr>
              <w:pStyle w:val="Compact"/>
            </w:pPr>
            <w:r>
              <w:t xml:space="preserve">180 days before expiry</w:t>
            </w:r>
          </w:p>
        </w:tc>
        <w:tc>
          <w:tcPr/>
          <w:p>
            <w:pPr>
              <w:pStyle w:val="Compact"/>
            </w:pPr>
            <w:r>
              <w:t xml:space="preserve">Continue to completion</w:t>
            </w:r>
          </w:p>
        </w:tc>
      </w:tr>
    </w:tbl>
    <w:p>
      <w:pPr>
        <w:pStyle w:val="BodyText"/>
      </w:pPr>
      <w:r>
        <w:t xml:space="preserve">Survival clauses post-termination: §9 confidentiality (indefinite), §12.4 cross-indemnity (indefinite), §13.4 off-boarding obligations (until handover complete).</w:t>
      </w:r>
    </w:p>
    <w:bookmarkEnd w:id="29"/>
    <w:bookmarkStart w:id="30" w:name="X4351e73f17fe1e0bb1be3b60ca150b47642c993"/>
    <w:p>
      <w:pPr>
        <w:pStyle w:val="Heading3"/>
      </w:pPr>
      <w:r>
        <w:t xml:space="preserve">4.6 Off-boarding protocol (any termination path)</w:t>
      </w:r>
    </w:p>
    <w:p>
      <w:pPr>
        <w:pStyle w:val="FirstParagraph"/>
      </w:pPr>
      <w:r>
        <w:t xml:space="preserve">Per MSA §13.4:</w:t>
      </w:r>
    </w:p>
    <w:p>
      <w:pPr>
        <w:pStyle w:val="Compact"/>
        <w:numPr>
          <w:ilvl w:val="0"/>
          <w:numId w:val="1016"/>
        </w:numPr>
      </w:pPr>
      <w:r>
        <w:t xml:space="preserve">Return / destroy matter information within 14 days of last live SOW closure (certificate at Annex 10)</w:t>
      </w:r>
    </w:p>
    <w:p>
      <w:pPr>
        <w:pStyle w:val="Compact"/>
        <w:numPr>
          <w:ilvl w:val="0"/>
          <w:numId w:val="1016"/>
        </w:numPr>
      </w:pPr>
      <w:r>
        <w:t xml:space="preserve">Cooperate with backup-partner / successor partner handover: 1 call per matter + 30 days follow-up email</w:t>
      </w:r>
    </w:p>
    <w:p>
      <w:pPr>
        <w:pStyle w:val="Compact"/>
        <w:numPr>
          <w:ilvl w:val="0"/>
          <w:numId w:val="1016"/>
        </w:numPr>
      </w:pPr>
      <w:r>
        <w:t xml:space="preserve">Exclusivity falls away on</w:t>
      </w:r>
      <w:r>
        <w:t xml:space="preserve"> </w:t>
      </w:r>
      <w:r>
        <w:rPr>
          <w:b/>
          <w:bCs/>
        </w:rPr>
        <w:t xml:space="preserve">notice date</w:t>
      </w:r>
      <w:r>
        <w:t xml:space="preserve"> </w:t>
      </w:r>
      <w:r>
        <w:t xml:space="preserve">(not effective date) — neither side restricted from arranging successor relationships during notice period</w:t>
      </w:r>
    </w:p>
    <w:p>
      <w:pPr>
        <w:pStyle w:val="Compact"/>
        <w:numPr>
          <w:ilvl w:val="0"/>
          <w:numId w:val="1016"/>
        </w:numPr>
      </w:pPr>
      <w:r>
        <w:t xml:space="preserve">Confidentiality + cross-indemnity survive (open-ended)</w:t>
      </w:r>
    </w:p>
    <w:p>
      <w:r>
        <w:pict>
          <v:rect style="width:0;height:1.5pt" o:hralign="center" o:hrstd="t" o:hr="t"/>
        </w:pict>
      </w:r>
    </w:p>
    <w:bookmarkEnd w:id="30"/>
    <w:bookmarkEnd w:id="31"/>
    <w:bookmarkStart w:id="32" w:name="X79b5d9ef0336374ae6eea51a4b271fb47a3f300"/>
    <w:p>
      <w:pPr>
        <w:pStyle w:val="Heading2"/>
      </w:pPr>
      <w:r>
        <w:t xml:space="preserve">After Trek 06 — ongoing partner-principal duties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Duty</w:t>
            </w:r>
          </w:p>
        </w:tc>
        <w:tc>
          <w:tcPr/>
          <w:p>
            <w:pPr>
              <w:pStyle w:val="Compact"/>
            </w:pPr>
            <w:r>
              <w:t xml:space="preserve">Cadence</w:t>
            </w:r>
          </w:p>
        </w:tc>
        <w:tc>
          <w:tcPr/>
          <w:p>
            <w:pPr>
              <w:pStyle w:val="Compact"/>
            </w:pPr>
            <w:r>
              <w:t xml:space="preserve">Authority</w:t>
            </w:r>
          </w:p>
        </w:tc>
      </w:tr>
      <w:tr>
        <w:tc>
          <w:tcPr/>
          <w:p>
            <w:pPr>
              <w:pStyle w:val="Compact"/>
            </w:pPr>
            <w:r>
              <w:t xml:space="preserve">Annex 5 annual re-attestation</w:t>
            </w:r>
          </w:p>
        </w:tc>
        <w:tc>
          <w:tcPr/>
          <w:p>
            <w:pPr>
              <w:pStyle w:val="Compact"/>
            </w:pPr>
            <w:r>
              <w:t xml:space="preserve">Each anniversary</w:t>
            </w:r>
          </w:p>
        </w:tc>
        <w:tc>
          <w:tcPr/>
          <w:p>
            <w:pPr>
              <w:pStyle w:val="Compact"/>
            </w:pPr>
            <w:r>
              <w:t xml:space="preserve">You countersign</w:t>
            </w:r>
          </w:p>
        </w:tc>
      </w:tr>
      <w:tr>
        <w:tc>
          <w:tcPr/>
          <w:p>
            <w:pPr>
              <w:pStyle w:val="Compact"/>
            </w:pPr>
            <w:r>
              <w:t xml:space="preserve">Monthly cross-firm calibration</w:t>
            </w:r>
          </w:p>
        </w:tc>
        <w:tc>
          <w:tcPr/>
          <w:p>
            <w:pPr>
              <w:pStyle w:val="Compact"/>
            </w:pPr>
            <w:r>
              <w:t xml:space="preserve">Last Wed</w:t>
            </w:r>
          </w:p>
        </w:tc>
        <w:tc>
          <w:tcPr/>
          <w:p>
            <w:pPr>
              <w:pStyle w:val="Compact"/>
            </w:pPr>
            <w:r>
              <w:t xml:space="preserve">You chair Cyprus side</w:t>
            </w:r>
          </w:p>
        </w:tc>
      </w:tr>
      <w:tr>
        <w:tc>
          <w:tcPr/>
          <w:p>
            <w:pPr>
              <w:pStyle w:val="Compact"/>
            </w:pPr>
            <w:r>
              <w:t xml:space="preserve">Quarterly retrospective</w:t>
            </w:r>
          </w:p>
        </w:tc>
        <w:tc>
          <w:tcPr/>
          <w:p>
            <w:pPr>
              <w:pStyle w:val="Compact"/>
            </w:pPr>
            <w:r>
              <w:t xml:space="preserve">Last Fri of quarter</w:t>
            </w:r>
          </w:p>
        </w:tc>
        <w:tc>
          <w:tcPr/>
          <w:p>
            <w:pPr>
              <w:pStyle w:val="Compact"/>
            </w:pPr>
            <w:r>
              <w:t xml:space="preserve">Joint chair</w:t>
            </w:r>
          </w:p>
        </w:tc>
      </w:tr>
      <w:tr>
        <w:tc>
          <w:tcPr/>
          <w:p>
            <w:pPr>
              <w:pStyle w:val="Compact"/>
            </w:pPr>
            <w:r>
              <w:t xml:space="preserve">Annual economics review</w:t>
            </w:r>
          </w:p>
        </w:tc>
        <w:tc>
          <w:tcPr/>
          <w:p>
            <w:pPr>
              <w:pStyle w:val="Compact"/>
            </w:pPr>
            <w:r>
              <w:t xml:space="preserve">January</w:t>
            </w:r>
          </w:p>
        </w:tc>
        <w:tc>
          <w:tcPr/>
          <w:p>
            <w:pPr>
              <w:pStyle w:val="Compact"/>
            </w:pPr>
            <w:r>
              <w:t xml:space="preserve">Sole chair Cyprus side</w:t>
            </w:r>
          </w:p>
        </w:tc>
      </w:tr>
      <w:tr>
        <w:tc>
          <w:tcPr/>
          <w:p>
            <w:pPr>
              <w:pStyle w:val="Compact"/>
            </w:pPr>
            <w:r>
              <w:t xml:space="preserve">Conflicts register sign-off</w:t>
            </w:r>
          </w:p>
        </w:tc>
        <w:tc>
          <w:tcPr/>
          <w:p>
            <w:pPr>
              <w:pStyle w:val="Compact"/>
            </w:pPr>
            <w:r>
              <w:t xml:space="preserve">Continuous</w:t>
            </w:r>
          </w:p>
        </w:tc>
        <w:tc>
          <w:tcPr/>
          <w:p>
            <w:pPr>
              <w:pStyle w:val="Compact"/>
            </w:pPr>
            <w:r>
              <w:t xml:space="preserve">You</w:t>
            </w:r>
          </w:p>
        </w:tc>
      </w:tr>
      <w:tr>
        <w:tc>
          <w:tcPr/>
          <w:p>
            <w:pPr>
              <w:pStyle w:val="Compact"/>
            </w:pPr>
            <w:r>
              <w:t xml:space="preserve">Material warranty-degradation notice</w:t>
            </w:r>
          </w:p>
        </w:tc>
        <w:tc>
          <w:tcPr/>
          <w:p>
            <w:pPr>
              <w:pStyle w:val="Compact"/>
            </w:pPr>
            <w:r>
              <w:t xml:space="preserve">Within 10 b/d of awareness</w:t>
            </w:r>
          </w:p>
        </w:tc>
        <w:tc>
          <w:tcPr/>
          <w:p>
            <w:pPr>
              <w:pStyle w:val="Compact"/>
            </w:pPr>
            <w:r>
              <w:t xml:space="preserve">You</w:t>
            </w:r>
          </w:p>
        </w:tc>
      </w:tr>
      <w:tr>
        <w:tc>
          <w:tcPr/>
          <w:p>
            <w:pPr>
              <w:pStyle w:val="Compact"/>
            </w:pPr>
            <w:r>
              <w:t xml:space="preserve">§4.5 amendment review on ADR-006 update</w:t>
            </w:r>
          </w:p>
        </w:tc>
        <w:tc>
          <w:tcPr/>
          <w:p>
            <w:pPr>
              <w:pStyle w:val="Compact"/>
            </w:pPr>
            <w:r>
              <w:t xml:space="preserve">Within 30 d of proposal</w:t>
            </w:r>
          </w:p>
        </w:tc>
        <w:tc>
          <w:tcPr/>
          <w:p>
            <w:pPr>
              <w:pStyle w:val="Compact"/>
            </w:pPr>
            <w:r>
              <w:t xml:space="preserve">You</w:t>
            </w:r>
          </w:p>
        </w:tc>
      </w:tr>
      <w:tr>
        <w:tc>
          <w:tcPr/>
          <w:p>
            <w:pPr>
              <w:pStyle w:val="Compact"/>
            </w:pPr>
            <w:r>
              <w:t xml:space="preserve">First-call response on §7.3 48-hour conflict escalation</w:t>
            </w:r>
          </w:p>
        </w:tc>
        <w:tc>
          <w:tcPr/>
          <w:p>
            <w:pPr>
              <w:pStyle w:val="Compact"/>
            </w:pPr>
            <w:r>
              <w:t xml:space="preserve">Within 48 h</w:t>
            </w:r>
          </w:p>
        </w:tc>
        <w:tc>
          <w:tcPr/>
          <w:p>
            <w:pPr>
              <w:pStyle w:val="Compact"/>
            </w:pPr>
            <w:r>
              <w:t xml:space="preserve">You</w:t>
            </w:r>
          </w:p>
        </w:tc>
      </w:tr>
      <w:tr>
        <w:tc>
          <w:tcPr/>
          <w:p>
            <w:pPr>
              <w:pStyle w:val="Compact"/>
            </w:pPr>
            <w:r>
              <w:t xml:space="preserve">Backup-partner identification (your side)</w:t>
            </w:r>
          </w:p>
        </w:tc>
        <w:tc>
          <w:tcPr/>
          <w:p>
            <w:pPr>
              <w:pStyle w:val="Compact"/>
            </w:pPr>
            <w:r>
              <w:t xml:space="preserve">Day 90 + annual refresh</w:t>
            </w:r>
          </w:p>
        </w:tc>
        <w:tc>
          <w:tcPr/>
          <w:p>
            <w:pPr>
              <w:pStyle w:val="Compact"/>
            </w:pPr>
            <w:r>
              <w:t xml:space="preserve">You</w:t>
            </w:r>
          </w:p>
        </w:tc>
      </w:tr>
      <w:tr>
        <w:tc>
          <w:tcPr/>
          <w:p>
            <w:pPr>
              <w:pStyle w:val="Compact"/>
            </w:pPr>
            <w:r>
              <w:t xml:space="preserve">Annex 4 PII renewal</w:t>
            </w:r>
          </w:p>
        </w:tc>
        <w:tc>
          <w:tcPr/>
          <w:p>
            <w:pPr>
              <w:pStyle w:val="Compact"/>
            </w:pPr>
            <w:r>
              <w:t xml:space="preserve">Annual + on insurer change</w:t>
            </w:r>
          </w:p>
        </w:tc>
        <w:tc>
          <w:tcPr/>
          <w:p>
            <w:pPr>
              <w:pStyle w:val="Compact"/>
            </w:pPr>
            <w:r>
              <w:t xml:space="preserve">You file</w:t>
            </w:r>
          </w:p>
        </w:tc>
      </w:tr>
    </w:tbl>
    <w:p>
      <w:r>
        <w:pict>
          <v:rect style="width:0;height:1.5pt" o:hralign="center" o:hrstd="t" o:hr="t"/>
        </w:pict>
      </w:r>
    </w:p>
    <w:bookmarkEnd w:id="32"/>
    <w:bookmarkStart w:id="34" w:name="resources"/>
    <w:p>
      <w:pPr>
        <w:pStyle w:val="Heading2"/>
      </w:pPr>
      <w:r>
        <w:t xml:space="preserve">Resources</w:t>
      </w:r>
    </w:p>
    <w:p>
      <w:pPr>
        <w:pStyle w:val="Compact"/>
        <w:numPr>
          <w:ilvl w:val="0"/>
          <w:numId w:val="1017"/>
        </w:numPr>
      </w:pPr>
      <w:r>
        <w:rPr>
          <w:b/>
          <w:bCs/>
        </w:rPr>
        <w:t xml:space="preserve">MSA template + your signed instance</w:t>
      </w:r>
      <w:r>
        <w:t xml:space="preserve"> </w:t>
      </w:r>
      <w:r>
        <w:t xml:space="preserve">— [[19-master-services-agreement]] in templates; signed instance in your O365 partner folder</w:t>
      </w:r>
    </w:p>
    <w:p>
      <w:pPr>
        <w:pStyle w:val="Compact"/>
        <w:numPr>
          <w:ilvl w:val="0"/>
          <w:numId w:val="1017"/>
        </w:numPr>
      </w:pPr>
      <w:r>
        <w:rPr>
          <w:b/>
          <w:bCs/>
        </w:rPr>
        <w:t xml:space="preserve">SOW template + per-matter SOWs</w:t>
      </w:r>
      <w:r>
        <w:t xml:space="preserve"> </w:t>
      </w:r>
      <w:r>
        <w:t xml:space="preserve">— [[09-cyprus-partner-sow]] in templates; per-matter instances in matter folders</w:t>
      </w:r>
    </w:p>
    <w:p>
      <w:pPr>
        <w:pStyle w:val="Compact"/>
        <w:numPr>
          <w:ilvl w:val="0"/>
          <w:numId w:val="1017"/>
        </w:numPr>
      </w:pPr>
      <w:r>
        <w:rPr>
          <w:b/>
          <w:bCs/>
        </w:rPr>
        <w:t xml:space="preserve">ADR-006</w:t>
      </w:r>
      <w:r>
        <w:t xml:space="preserve"> </w:t>
      </w:r>
      <w:r>
        <w:t xml:space="preserve">— [[decisions/006-cyprus-contractor-strategy]] — the operating philosophy</w:t>
      </w:r>
    </w:p>
    <w:p>
      <w:pPr>
        <w:pStyle w:val="Compact"/>
        <w:numPr>
          <w:ilvl w:val="0"/>
          <w:numId w:val="1017"/>
        </w:numPr>
      </w:pPr>
      <w:r>
        <w:rPr>
          <w:b/>
          <w:bCs/>
        </w:rPr>
        <w:t xml:space="preserve">Joint cadence</w:t>
      </w:r>
      <w:r>
        <w:t xml:space="preserve"> </w:t>
      </w:r>
      <w:r>
        <w:t xml:space="preserve">— [[process/joint-cadence]] — meeting rhythm</w:t>
      </w:r>
    </w:p>
    <w:p>
      <w:pPr>
        <w:pStyle w:val="Compact"/>
        <w:numPr>
          <w:ilvl w:val="0"/>
          <w:numId w:val="1017"/>
        </w:numPr>
      </w:pPr>
      <w:r>
        <w:rPr>
          <w:b/>
          <w:bCs/>
        </w:rPr>
        <w:t xml:space="preserve">Verification methodology</w:t>
      </w:r>
      <w:r>
        <w:t xml:space="preserve"> </w:t>
      </w:r>
      <w:r>
        <w:t xml:space="preserve">— [[process/partner-verification]] — how your firm got verified (for context on the verification artefacts that fed the warranties)</w:t>
      </w:r>
    </w:p>
    <w:p>
      <w:pPr>
        <w:pStyle w:val="Compact"/>
        <w:numPr>
          <w:ilvl w:val="0"/>
          <w:numId w:val="1017"/>
        </w:numPr>
      </w:pPr>
      <w:r>
        <w:rPr>
          <w:b/>
          <w:bCs/>
        </w:rPr>
        <w:t xml:space="preserve">Trek 05</w:t>
      </w:r>
      <w:r>
        <w:t xml:space="preserve"> </w:t>
      </w:r>
      <w:r>
        <w:t xml:space="preserve">— [[cyprus-contractor]] — operational-staff onboarding (your staff complete this; you reference it for staff readiness conversations)</w:t>
      </w:r>
    </w:p>
    <w:p>
      <w:pPr>
        <w:pStyle w:val="Compact"/>
        <w:numPr>
          <w:ilvl w:val="0"/>
          <w:numId w:val="1017"/>
        </w:numPr>
      </w:pPr>
      <w:r>
        <w:rPr>
          <w:b/>
          <w:bCs/>
        </w:rPr>
        <w:t xml:space="preserve">Portal:</w:t>
      </w:r>
      <w:r>
        <w:t xml:space="preserve"> </w:t>
      </w:r>
      <w:hyperlink r:id="rId33">
        <w:r>
          <w:rPr>
            <w:rStyle w:val="Hyperlink"/>
          </w:rPr>
          <w:t xml:space="preserve">https://interlegal-ipbox.pages.dev</w:t>
        </w:r>
      </w:hyperlink>
    </w:p>
    <w:p>
      <w:pPr>
        <w:pStyle w:val="Compact"/>
        <w:numPr>
          <w:ilvl w:val="0"/>
          <w:numId w:val="1017"/>
        </w:numPr>
      </w:pPr>
      <w:r>
        <w:rPr>
          <w:b/>
          <w:bCs/>
        </w:rPr>
        <w:t xml:space="preserve">Interlegal partner contact</w:t>
      </w:r>
      <w:r>
        <w:t xml:space="preserve"> </w:t>
      </w:r>
      <w:r>
        <w:t xml:space="preserve">— supplied separately at MSA signing</w:t>
      </w:r>
    </w:p>
    <w:p>
      <w:r>
        <w:pict>
          <v:rect style="width:0;height:1.5pt" o:hralign="center" o:hrstd="t" o:hr="t"/>
        </w:pict>
      </w:r>
    </w:p>
    <w:bookmarkEnd w:id="34"/>
    <w:bookmarkStart w:id="35" w:name="X7b3efa7bb8f472b23fcb1dc1312703861f90ad0"/>
    <w:p>
      <w:pPr>
        <w:pStyle w:val="Heading2"/>
      </w:pPr>
      <w:r>
        <w:t xml:space="preserve">When to call Interlegal Engagement Partner directly (not via cadence)</w:t>
      </w:r>
    </w:p>
    <w:p>
      <w:pPr>
        <w:pStyle w:val="Compact"/>
        <w:numPr>
          <w:ilvl w:val="0"/>
          <w:numId w:val="1018"/>
        </w:numPr>
      </w:pPr>
      <w:r>
        <w:t xml:space="preserve">48-hour conflict escalation per MSA §7.3</w:t>
      </w:r>
    </w:p>
    <w:p>
      <w:pPr>
        <w:pStyle w:val="Compact"/>
        <w:numPr>
          <w:ilvl w:val="0"/>
          <w:numId w:val="1018"/>
        </w:numPr>
      </w:pPr>
      <w:r>
        <w:t xml:space="preserve">Warranty-degradation notice per MSA §3.2 (you may file in writing, but a heads-up call is appreciated)</w:t>
      </w:r>
    </w:p>
    <w:p>
      <w:pPr>
        <w:pStyle w:val="Compact"/>
        <w:numPr>
          <w:ilvl w:val="0"/>
          <w:numId w:val="1018"/>
        </w:numPr>
      </w:pPr>
      <w:r>
        <w:t xml:space="preserve">Suspect a §13.2 termination trigger — discuss off-line first</w:t>
      </w:r>
    </w:p>
    <w:p>
      <w:pPr>
        <w:pStyle w:val="Compact"/>
        <w:numPr>
          <w:ilvl w:val="0"/>
          <w:numId w:val="1018"/>
        </w:numPr>
      </w:pPr>
      <w:r>
        <w:t xml:space="preserve">Insurance / regulator approach affecting joint matters</w:t>
      </w:r>
    </w:p>
    <w:p>
      <w:pPr>
        <w:pStyle w:val="Compact"/>
        <w:numPr>
          <w:ilvl w:val="0"/>
          <w:numId w:val="1018"/>
        </w:numPr>
      </w:pPr>
      <w:r>
        <w:t xml:space="preserve">Any matter where you would otherwise be unable to sign-off at G5 within SLA</w:t>
      </w:r>
    </w:p>
    <w:p>
      <w:pPr>
        <w:pStyle w:val="FirstParagraph"/>
      </w:pPr>
      <w:r>
        <w:t xml:space="preserve">Everything else: weekly + monthly cadence + email register.</w:t>
      </w:r>
    </w:p>
    <w:p>
      <w:r>
        <w:pict>
          <v:rect style="width:0;height:1.5pt" o:hralign="center" o:hrstd="t" o:hr="t"/>
        </w:pict>
      </w:r>
    </w:p>
    <w:p>
      <w:pPr>
        <w:pStyle w:val="FirstParagraph"/>
      </w:pPr>
      <w:r>
        <w:rPr>
          <w:b/>
          <w:bCs/>
        </w:rPr>
        <w:t xml:space="preserve">Next:</w:t>
      </w:r>
      <w:r>
        <w:t xml:space="preserve"> </w:t>
      </w:r>
      <w:r>
        <w:t xml:space="preserve">countersign Annex 5 on first anniversary; chair the next monthly cross-firm calibration; respond to any quarterly-review re-banding proposal within 30 days.</w:t>
      </w:r>
    </w:p>
    <w:p>
      <w:pPr>
        <w:pStyle w:val="BodyText"/>
      </w:pPr>
      <w:r>
        <w:rPr>
          <w:b/>
          <w:bCs/>
        </w:rPr>
        <w:t xml:space="preserve">Related:</w:t>
      </w:r>
      <w:r>
        <w:t xml:space="preserve"> </w:t>
      </w:r>
      <w:r>
        <w:t xml:space="preserve">[[cyprus-contractor]] (Trek 05 — operational staff onboarding), [[19-master-services-agreement]] (the instrument), [[09-cyprus-partner-sow]] (per-matter), [[decisions/006-cyprus-contractor-strategy]] (operating philosophy), [[process/joint-cadence]] (rhythm), [[process/partner-verification]] (how you were verified).</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
  </w:num>
  <w:num w:numId="1002">
    <w:abstractNumId w:val="992"/>
  </w:num>
  <w:num w:numId="1003">
    <w:abstractNumId w:val="992"/>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
  </w:num>
  <w:num w:numId="1006">
    <w:abstractNumId w:val="991"/>
  </w:num>
  <w:num w:numId="1007">
    <w:abstractNumId w:val="991"/>
  </w:num>
  <w:num w:numId="1008">
    <w:abstractNumId w:val="992"/>
  </w:num>
  <w:num w:numId="1009">
    <w:abstractNumId w:val="992"/>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3" Target="https://interlegal-ipbox.pages.dev" TargetMode="External" /></Relationships>
</file>

<file path=word/_rels/footnotes.xml.rels><?xml version="1.0" encoding="UTF-8"?><Relationships xmlns="http://schemas.openxmlformats.org/package/2006/relationships"><Relationship Type="http://schemas.openxmlformats.org/officeDocument/2006/relationships/hyperlink" Id="rId33" Target="https://interlegal-ipbox.pages.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2026-05-17T19:33:09Z</dcterms:created>
  <dcterms:modified xsi:type="dcterms:W3CDTF">2026-05-17T19:33:09Z</dcterms:modified>
</cp:coreProperties>
</file>

<file path=docProps/custom.xml><?xml version="1.0" encoding="utf-8"?>
<Properties xmlns="http://schemas.openxmlformats.org/officeDocument/2006/custom-properties" xmlns:vt="http://schemas.openxmlformats.org/officeDocument/2006/docPropsVTypes"/>
</file>