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</w:pPr>
            <w:r>
              <w:t xml:space="preserve">title: Self-Study Track — Cyprus Contractor Staff (Trek 05)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status: FINAL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language: english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controlling: true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prepared_by: Interlegal Senior + PM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finalised_by: Interlegal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gate_required: []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audience: Cyprus contractor — any firm that signs SOW per ADR-006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target_duration: ≤ 2 working days (split 1+1 or back-to-back)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created: 2026-05-17</w:t>
            </w:r>
          </w:p>
        </w:tc>
      </w:tr>
    </w:tbl>
    <w:bookmarkStart w:id="30" w:name="X797d2a38db66516f4f6abd7bcbe10dfa1ca36e9"/>
    <w:p>
      <w:pPr>
        <w:pStyle w:val="Heading1"/>
      </w:pPr>
      <w:r>
        <w:t xml:space="preserve">Self-Study Track — Cyprus Contractor Staff (Trek 05)</w:t>
      </w:r>
    </w:p>
    <w:p>
      <w:pPr>
        <w:pStyle w:val="FirstParagraph"/>
      </w:pPr>
      <w:r>
        <w:rPr>
          <w:b/>
          <w:bCs/>
        </w:rPr>
        <w:t xml:space="preserve">Target audience:</w:t>
      </w:r>
      <w:r>
        <w:t xml:space="preserve"> </w:t>
      </w:r>
      <w:r>
        <w:t xml:space="preserve">any Cyprus-based firm engaged as the Cyprus partner per ADR-006 — whether the firm holds all licenses in-house (ICPAC + Bar member) or operates as a corporate-services hub with affiliate audit + legal partners. This track onboards the</w:t>
      </w:r>
      <w:r>
        <w:t xml:space="preserve"> </w:t>
      </w:r>
      <w:r>
        <w:rPr>
          <w:b/>
          <w:bCs/>
        </w:rPr>
        <w:t xml:space="preserve">staff members who will own G5 sign-offs</w:t>
      </w:r>
      <w:r>
        <w:t xml:space="preserve">, run the joint cadence, and produce Cyprus-side artefacts.</w:t>
      </w:r>
    </w:p>
    <w:p>
      <w:pPr>
        <w:pStyle w:val="BodyText"/>
      </w:pPr>
      <w:r>
        <w:rPr>
          <w:b/>
          <w:bCs/>
        </w:rPr>
        <w:t xml:space="preserve">Goal:</w:t>
      </w:r>
      <w:r>
        <w:t xml:space="preserve"> </w:t>
      </w:r>
      <w:r>
        <w:t xml:space="preserve">at the end of ≤ 2 working days, every Cyprus-side staff member knows (1) what they own under ADR-006, (2) how G5 sign-off flows through the portal, (3) how the joint cadence runs (per</w:t>
      </w:r>
      <w:r>
        <w:t xml:space="preserve"> </w:t>
      </w:r>
      <w:r>
        <w:rPr>
          <w:rStyle w:val="VerbatimChar"/>
        </w:rPr>
        <w:t xml:space="preserve">process/joint-cadence.md</w:t>
      </w:r>
      <w:r>
        <w:t xml:space="preserve">), (4) what artefacts they receive and what they produce per matter.</w:t>
      </w:r>
    </w:p>
    <w:p>
      <w:pPr>
        <w:pStyle w:val="BodyText"/>
      </w:pPr>
      <w:r>
        <w:rPr>
          <w:b/>
          <w:bCs/>
        </w:rPr>
        <w:t xml:space="preserve">This track is partner-agnostic.</w:t>
      </w:r>
      <w:r>
        <w:t xml:space="preserve"> </w:t>
      </w:r>
      <w:r>
        <w:t xml:space="preserve">No firm name appears in this document. Firm-specific configuration (named individuals, SOW reference, fee bands) lives in the SOW + matter cockpit, not here.</w:t>
      </w:r>
    </w:p>
    <w:p>
      <w:r>
        <w:pict>
          <v:rect style="width:0;height:1.5pt" o:hralign="center" o:hrstd="t" o:hr="t"/>
        </w:pict>
      </w:r>
    </w:p>
    <w:bookmarkStart w:id="9" w:name="Xe7cd2db01a518153dfd35f1eb0c2eae8d182cd4"/>
    <w:p>
      <w:pPr>
        <w:pStyle w:val="Heading2"/>
      </w:pPr>
      <w:r>
        <w:t xml:space="preserve">Audience &amp; roles within the Cyprus partner constellation</w:t>
      </w:r>
    </w:p>
    <w:p>
      <w:pPr>
        <w:pStyle w:val="FirstParagraph"/>
      </w:pPr>
      <w:r>
        <w:t xml:space="preserve">The Cyprus partner may be one firm or a constellation of associated firms. Either way, four functional roles must complete this track. One person may hold more than one role; each role section is read by whoever holds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Owns</w:t>
            </w:r>
          </w:p>
        </w:tc>
        <w:tc>
          <w:tcPr/>
          <w:p>
            <w:pPr>
              <w:pStyle w:val="Compact"/>
            </w:pPr>
            <w:r>
              <w:t xml:space="preserve">Reads sections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ICPAC-licensed auditor</w:t>
            </w:r>
            <w:r>
              <w:t xml:space="preserve"> </w:t>
            </w:r>
            <w:r>
              <w:t xml:space="preserve">(in-house or affiliate)</w:t>
            </w:r>
          </w:p>
        </w:tc>
        <w:tc>
          <w:tcPr/>
          <w:p>
            <w:pPr>
              <w:pStyle w:val="Compact"/>
            </w:pPr>
            <w:r>
              <w:t xml:space="preserve">G5b: annual statutory audit + TD4 IP Box claim submission + audit-side sign-off</w:t>
            </w:r>
          </w:p>
        </w:tc>
        <w:tc>
          <w:tcPr/>
          <w:p>
            <w:pPr>
              <w:pStyle w:val="Compact"/>
            </w:pPr>
            <w:r>
              <w:t xml:space="preserve">Common + §Audit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tax advisor / consultant</w:t>
            </w:r>
          </w:p>
        </w:tc>
        <w:tc>
          <w:tcPr/>
          <w:p>
            <w:pPr>
              <w:pStyle w:val="Compact"/>
            </w:pPr>
            <w:r>
              <w:t xml:space="preserve">Ruling acceptability (G5a) + tax position validation + Cyprus tax law judgement on memos</w:t>
            </w:r>
          </w:p>
        </w:tc>
        <w:tc>
          <w:tcPr/>
          <w:p>
            <w:pPr>
              <w:pStyle w:val="Compact"/>
            </w:pPr>
            <w:r>
              <w:t xml:space="preserve">Common + §Tax advisor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Corporate services manager</w:t>
            </w:r>
            <w:r>
              <w:t xml:space="preserve"> </w:t>
            </w:r>
            <w:r>
              <w:t xml:space="preserve">(CSP)</w:t>
            </w:r>
          </w:p>
        </w:tc>
        <w:tc>
          <w:tcPr/>
          <w:p>
            <w:pPr>
              <w:pStyle w:val="Compact"/>
            </w:pPr>
            <w:r>
              <w:t xml:space="preserve">Incorporation + registered office + banking introduction + statutory filings (HE forms, beneficial-ownership register) + secretary services + board-minute attestation</w:t>
            </w:r>
          </w:p>
        </w:tc>
        <w:tc>
          <w:tcPr/>
          <w:p>
            <w:pPr>
              <w:pStyle w:val="Compact"/>
            </w:pPr>
            <w:r>
              <w:t xml:space="preserve">Common + §Corporate services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Bar member / legal sign-off</w:t>
            </w:r>
            <w:r>
              <w:t xml:space="preserve"> </w:t>
            </w:r>
            <w:r>
              <w:t xml:space="preserve">(in-house or affiliate)</w:t>
            </w:r>
          </w:p>
        </w:tc>
        <w:tc>
          <w:tcPr/>
          <w:p>
            <w:pPr>
              <w:pStyle w:val="Compact"/>
            </w:pPr>
            <w:r>
              <w:t xml:space="preserve">Ruling submission to Cyprus Tax Department + court appearance + legal opinions where required</w:t>
            </w:r>
          </w:p>
        </w:tc>
        <w:tc>
          <w:tcPr/>
          <w:p>
            <w:pPr>
              <w:pStyle w:val="Compact"/>
            </w:pPr>
            <w:r>
              <w:t xml:space="preserve">Common + §Legal</w:t>
            </w:r>
          </w:p>
        </w:tc>
      </w:tr>
    </w:tbl>
    <w:p>
      <w:pPr>
        <w:pStyle w:val="BlockText"/>
      </w:pPr>
      <w:r>
        <w:t xml:space="preserve">Sole-firm Cyprus partner: same person may hold multiple roles. Constellation Cyprus partner: each role lives at a different firm; corporate-services manager (hub firm) coordinates handoffs across affiliate audit + legal firms.</w:t>
      </w:r>
    </w:p>
    <w:p>
      <w:r>
        <w:pict>
          <v:rect style="width:0;height:1.5pt" o:hralign="center" o:hrstd="t" o:hr="t"/>
        </w:pict>
      </w:r>
    </w:p>
    <w:bookmarkEnd w:id="9"/>
    <w:bookmarkStart w:id="14" w:name="X06a37b70aff12a59db37ee5d8dceded30f00884"/>
    <w:p>
      <w:pPr>
        <w:pStyle w:val="Heading2"/>
      </w:pPr>
      <w:r>
        <w:t xml:space="preserve">Day 1 — Common: operating system + ownership + portal</w:t>
      </w:r>
    </w:p>
    <w:bookmarkStart w:id="10" w:name="read-order-2-hours"/>
    <w:p>
      <w:pPr>
        <w:pStyle w:val="Heading3"/>
      </w:pPr>
      <w:r>
        <w:t xml:space="preserve">1.1 Read order (≈ 2 hours)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README.md</w:t>
      </w:r>
      <w:r>
        <w:t xml:space="preserve"> </w:t>
      </w:r>
      <w:r>
        <w:t xml:space="preserve">— project overview (engine + 7 portal surfaces)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PRODUCT.md</w:t>
      </w:r>
      <w:r>
        <w:t xml:space="preserve"> </w:t>
      </w:r>
      <w:r>
        <w:t xml:space="preserve">— service tiers S0/S1/S2/S2+/S3 + positioning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decisions/006-cyprus-contractor-strategy.md</w:t>
      </w:r>
      <w:r>
        <w:t xml:space="preserve"> </w:t>
      </w:r>
      <w:r>
        <w:rPr>
          <w:b/>
          <w:bCs/>
        </w:rPr>
        <w:t xml:space="preserve">full</w:t>
      </w:r>
      <w:r>
        <w:t xml:space="preserve"> </w:t>
      </w:r>
      <w:r>
        <w:t xml:space="preserve">— ownership-based responsibility matrix; this is the foundational document for everything you sign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decisions/005-process-gates.md</w:t>
      </w:r>
      <w:r>
        <w:t xml:space="preserve"> </w:t>
      </w:r>
      <w:r>
        <w:t xml:space="preserve">— G0-G6 model; pay close attention to G4 (Interlegal owns) vs G5 (Cyprus partner owns) vs G6 (external second-review triggers)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decisions/009-language-and-filing-protocol.md</w:t>
      </w:r>
      <w:r>
        <w:t xml:space="preserve"> </w:t>
      </w:r>
      <w:r>
        <w:t xml:space="preserve">— English working language; Greek only when statutorily required (you own that)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decisions/010-judgement-memos.md</w:t>
      </w:r>
      <w:r>
        <w:t xml:space="preserve"> </w:t>
      </w:r>
      <w:r>
        <w:t xml:space="preserve">— 6 mandatory memo types per matter; G5 sign-off matrix</w:t>
      </w:r>
    </w:p>
    <w:bookmarkEnd w:id="10"/>
    <w:bookmarkStart w:id="11" w:name="Xfb3a5e14fd7e40e143db750b685d38ccb406989"/>
    <w:p>
      <w:pPr>
        <w:pStyle w:val="Heading3"/>
      </w:pPr>
      <w:r>
        <w:t xml:space="preserve">1.2 Engine + portal walkthrough (≈ 1 hour, with Interlegal PM)</w:t>
      </w:r>
    </w:p>
    <w:p>
      <w:pPr>
        <w:pStyle w:val="Compact"/>
        <w:numPr>
          <w:ilvl w:val="0"/>
          <w:numId w:val="1007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cockpit on</w:t>
      </w:r>
      <w:r>
        <w:t xml:space="preserve"> </w:t>
      </w:r>
      <w:r>
        <w:rPr>
          <w:rStyle w:val="VerbatimChar"/>
        </w:rPr>
        <w:t xml:space="preserve">interlegal-ipbox.pages.dev/staff.html</w:t>
      </w:r>
      <w:r>
        <w:t xml:space="preserve"> </w:t>
      </w:r>
      <w:r>
        <w:t xml:space="preserve">— review the 7-row G0-G6 gate panel</w:t>
      </w:r>
    </w:p>
    <w:p>
      <w:pPr>
        <w:pStyle w:val="Compact"/>
        <w:numPr>
          <w:ilvl w:val="0"/>
          <w:numId w:val="1008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/home</w:t>
      </w:r>
      <w:r>
        <w:t xml:space="preserve"> </w:t>
      </w:r>
      <w:r>
        <w:t xml:space="preserve">— multi-matter overview + compliance calendar</w:t>
      </w:r>
    </w:p>
    <w:p>
      <w:pPr>
        <w:pStyle w:val="Compact"/>
        <w:numPr>
          <w:ilvl w:val="0"/>
          <w:numId w:val="1009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/process</w:t>
      </w:r>
      <w:r>
        <w:t xml:space="preserve"> </w:t>
      </w:r>
      <w:r>
        <w:t xml:space="preserve">— 6-phase × 14-stage map (you will see your owned stages highlighted)</w:t>
      </w:r>
    </w:p>
    <w:p>
      <w:pPr>
        <w:pStyle w:val="Compact"/>
        <w:numPr>
          <w:ilvl w:val="0"/>
          <w:numId w:val="1010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/calculator</w:t>
      </w:r>
      <w:r>
        <w:t xml:space="preserve"> </w:t>
      </w:r>
      <w:r>
        <w:t xml:space="preserve">— note that Mode 1 (precise nexus) and Mode 2 (10-question readiness scorer) both exist; you are not asked to compute Mode 1 yourself, but you must understand the inputs you provide so the calc is correct</w:t>
      </w:r>
    </w:p>
    <w:p>
      <w:pPr>
        <w:pStyle w:val="Compact"/>
        <w:numPr>
          <w:ilvl w:val="0"/>
          <w:numId w:val="1011"/>
        </w:numPr>
      </w:pPr>
      <w:r>
        <w:t xml:space="preserve">Run through</w:t>
      </w:r>
      <w:r>
        <w:t xml:space="preserve"> </w:t>
      </w:r>
      <w:r>
        <w:rPr>
          <w:rStyle w:val="VerbatimChar"/>
        </w:rPr>
        <w:t xml:space="preserve">engine/__init__.py</w:t>
      </w:r>
      <w:r>
        <w:t xml:space="preserve"> </w:t>
      </w:r>
      <w:r>
        <w:t xml:space="preserve">engine version + 89/89 pytest passing line (Interlegal PM shows the test output)</w:t>
      </w:r>
    </w:p>
    <w:bookmarkEnd w:id="11"/>
    <w:bookmarkStart w:id="12" w:name="ownership-matrix-self-check-30-min"/>
    <w:p>
      <w:pPr>
        <w:pStyle w:val="Heading3"/>
      </w:pPr>
      <w:r>
        <w:t xml:space="preserve">1.3 Ownership matrix self-check (≈ 30 min)</w:t>
      </w:r>
    </w:p>
    <w:p>
      <w:pPr>
        <w:pStyle w:val="FirstParagraph"/>
      </w:pPr>
      <w:r>
        <w:t xml:space="preserve">From ADR-006 ownership-matrix table, identify the 4-7 rows you own under your role. For each:</w:t>
      </w:r>
    </w:p>
    <w:p>
      <w:pPr>
        <w:pStyle w:val="Compact"/>
        <w:numPr>
          <w:ilvl w:val="0"/>
          <w:numId w:val="1012"/>
        </w:numPr>
      </w:pPr>
      <w:r>
        <w:t xml:space="preserve">Who delivers operational work? (You / Interlegal / joint)</w:t>
      </w:r>
    </w:p>
    <w:p>
      <w:pPr>
        <w:pStyle w:val="Compact"/>
        <w:numPr>
          <w:ilvl w:val="0"/>
          <w:numId w:val="1012"/>
        </w:numPr>
      </w:pPr>
      <w:r>
        <w:t xml:space="preserve">Who signs?</w:t>
      </w:r>
    </w:p>
    <w:p>
      <w:pPr>
        <w:pStyle w:val="Compact"/>
        <w:numPr>
          <w:ilvl w:val="0"/>
          <w:numId w:val="1012"/>
        </w:numPr>
      </w:pPr>
      <w:r>
        <w:t xml:space="preserve">What is your SLA?</w:t>
      </w:r>
    </w:p>
    <w:p>
      <w:pPr>
        <w:pStyle w:val="Compact"/>
        <w:numPr>
          <w:ilvl w:val="0"/>
          <w:numId w:val="1012"/>
        </w:numPr>
      </w:pPr>
      <w:r>
        <w:t xml:space="preserve">What evidence pack do you receive before sign-off?</w:t>
      </w:r>
    </w:p>
    <w:p>
      <w:pPr>
        <w:pStyle w:val="Compact"/>
        <w:numPr>
          <w:ilvl w:val="0"/>
          <w:numId w:val="1012"/>
        </w:numPr>
      </w:pPr>
      <w:r>
        <w:t xml:space="preserve">What evidence pack do you produce after sign-off?</w:t>
      </w:r>
    </w:p>
    <w:p>
      <w:pPr>
        <w:pStyle w:val="FirstParagraph"/>
      </w:pPr>
      <w:r>
        <w:t xml:space="preserve">You will brief these back to Interlegal Senior at end-of-Day-1 (15 min check-in).</w:t>
      </w:r>
    </w:p>
    <w:bookmarkEnd w:id="12"/>
    <w:bookmarkStart w:id="13" w:name="Xddb38f11ffcd71aa7b9dc7e7c0daaa6dcc5cd50"/>
    <w:p>
      <w:pPr>
        <w:pStyle w:val="Heading3"/>
      </w:pPr>
      <w:r>
        <w:t xml:space="preserve">1.4 Synthetic case familiarisation — M-0042 MetaSaaS (≈ 2 hours)</w:t>
      </w:r>
    </w:p>
    <w:p>
      <w:pPr>
        <w:pStyle w:val="FirstParagraph"/>
      </w:pPr>
      <w:r>
        <w:t xml:space="preserve">Read the 15 synthetic documents in order:</w:t>
      </w:r>
    </w:p>
    <w:p>
      <w:pPr>
        <w:pStyle w:val="BodyText"/>
      </w:pPr>
      <w:r>
        <w:rPr>
          <w:rStyle w:val="VerbatimChar"/>
        </w:rPr>
        <w:t xml:space="preserve">docs/synthetic/M-0042-metasaas/01-engagement-letter-S2.md</w:t>
      </w:r>
      <w:r>
        <w:t xml:space="preserve"> </w:t>
      </w:r>
      <w:r>
        <w:t xml:space="preserve">→ 12 (substance-evidence-photo-log) → 13 (IP income allocation) → 14 (TP risk memo) → 15 (evidence calendar).</w:t>
      </w:r>
    </w:p>
    <w:p>
      <w:pPr>
        <w:pStyle w:val="BodyText"/>
      </w:pPr>
      <w:r>
        <w:t xml:space="preserve">For each document, note:</w:t>
      </w:r>
    </w:p>
    <w:p>
      <w:pPr>
        <w:pStyle w:val="Compact"/>
        <w:numPr>
          <w:ilvl w:val="0"/>
          <w:numId w:val="1013"/>
        </w:numPr>
      </w:pPr>
      <w:r>
        <w:t xml:space="preserve">Which gate does this document feed?</w:t>
      </w:r>
    </w:p>
    <w:p>
      <w:pPr>
        <w:pStyle w:val="Compact"/>
        <w:numPr>
          <w:ilvl w:val="0"/>
          <w:numId w:val="1013"/>
        </w:numPr>
      </w:pPr>
      <w:r>
        <w:t xml:space="preserve">Who signs it? (G4 only? G5 only? Joint?)</w:t>
      </w:r>
    </w:p>
    <w:p>
      <w:pPr>
        <w:pStyle w:val="Compact"/>
        <w:numPr>
          <w:ilvl w:val="0"/>
          <w:numId w:val="1013"/>
        </w:numPr>
      </w:pPr>
      <w:r>
        <w:t xml:space="preserve">Where does this evidence sit when it reaches you? (matter cockpit? handed off via cadence?)</w:t>
      </w:r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happy-path</w:t>
      </w:r>
      <w:r>
        <w:t xml:space="preserve"> </w:t>
      </w:r>
      <w:r>
        <w:t xml:space="preserve">matter. Day 2 covers the problem-state matter (M-0043).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24" w:name="Xd3b072b0df28f40f6e350e6ff127f0f29289019"/>
    <w:p>
      <w:pPr>
        <w:pStyle w:val="Heading2"/>
      </w:pPr>
      <w:r>
        <w:t xml:space="preserve">Day 2 — Role-specific deep dive + joint cadence + problem state</w:t>
      </w:r>
    </w:p>
    <w:bookmarkStart w:id="19" w:name="Xdade61e63984ba9e6e3ce63b78db1d6fe93701a"/>
    <w:p>
      <w:pPr>
        <w:pStyle w:val="Heading3"/>
      </w:pPr>
      <w:r>
        <w:t xml:space="preserve">2.1 Role-specific deep dive (≈ 3 hours; read your section only)</w:t>
      </w:r>
    </w:p>
    <w:p>
      <w:pPr>
        <w:pStyle w:val="FirstParagraph"/>
      </w:pPr>
      <w:r>
        <w:t xml:space="preserve">Each role reads ONE of the four sections below. Other roles’ sections optional reading.</w:t>
      </w:r>
    </w:p>
    <w:bookmarkStart w:id="15" w:name="audit-icpac-licensed-auditor"/>
    <w:p>
      <w:pPr>
        <w:pStyle w:val="Heading4"/>
      </w:pPr>
      <w:r>
        <w:t xml:space="preserve">§Audit (ICPAC-licensed auditor)</w:t>
      </w:r>
    </w:p>
    <w:p>
      <w:pPr>
        <w:pStyle w:val="FirstParagraph"/>
      </w:pPr>
      <w:r>
        <w:t xml:space="preserve">You own G5b. Your sign-off lives on: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Annual statutory audit</w:t>
      </w:r>
      <w:r>
        <w:t xml:space="preserve"> </w:t>
      </w:r>
      <w:r>
        <w:t xml:space="preserve">(Cyprus Companies Law statutory requirement — every CY Ltd, IP Box or not)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TD4 IP Box claim filing</w:t>
      </w:r>
      <w:r>
        <w:t xml:space="preserve"> </w:t>
      </w:r>
      <w:r>
        <w:t xml:space="preserve">(due 31 March year+2; FY2026 → 2028-03-31; you sign + submit)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Substance memo validation</w:t>
      </w:r>
      <w:r>
        <w:t xml:space="preserve"> </w:t>
      </w:r>
      <w:r>
        <w:t xml:space="preserve">(G5b co-sign with tax advisor; you confirm financial-statement reconciliation matches substance evidence)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Evidence Calendar quarterly review</w:t>
      </w:r>
      <w:r>
        <w:t xml:space="preserve"> </w:t>
      </w:r>
      <w:r>
        <w:t xml:space="preserve">(template 16 — your sign-off confirms evidence rolls forward in audit file)</w:t>
      </w:r>
    </w:p>
    <w:p>
      <w:pPr>
        <w:pStyle w:val="FirstParagraph"/>
      </w:pPr>
      <w:r>
        <w:t xml:space="preserve">Read in detail: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docs/synthetic/M-0042-metasaas/07-td4-tax-return-extract-with-ipbox-claim.md</w:t>
      </w:r>
      <w:r>
        <w:t xml:space="preserve"> </w:t>
      </w:r>
      <w:r>
        <w:t xml:space="preserve">— note how IP Box claim schedule attaches to TD4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docs/synthetic/M-0042-metasaas/13-ip-income-allocation-memo.md</w:t>
      </w:r>
      <w:r>
        <w:t xml:space="preserve"> </w:t>
      </w:r>
      <w:r>
        <w:t xml:space="preserve">— cost-plus residual</w:t>
      </w:r>
      <w:r>
        <w:t xml:space="preserve"> </w:t>
      </w:r>
      <w:r>
        <w:t xml:space="preserve">@8</w:t>
      </w:r>
      <w:r>
        <w:t xml:space="preserve">% method; this is the typical multi-revenue SaaS allocation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decisions/008-tax-assumptions-register.md</w:t>
      </w:r>
      <w:r>
        <w:t xml:space="preserve"> </w:t>
      </w:r>
      <w:r>
        <w:t xml:space="preserve">— assumptions you must verify against your view of current Cyprus tax practice; flag any disagreements at first joint cadence call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glossary/tax-assumptions.md</w:t>
      </w:r>
      <w:r>
        <w:t xml:space="preserve"> </w:t>
      </w:r>
      <w:r>
        <w:t xml:space="preserve">— 25 seed entries; rate them Confidence H/M/L from your seat</w:t>
      </w:r>
    </w:p>
    <w:bookmarkEnd w:id="15"/>
    <w:bookmarkStart w:id="16" w:name="X6eb9058eca12f84eae7fc43e99dfca28e981287"/>
    <w:p>
      <w:pPr>
        <w:pStyle w:val="Heading4"/>
      </w:pPr>
      <w:r>
        <w:t xml:space="preserve">§Tax advisor (Cyprus tax advisor / consultant)</w:t>
      </w:r>
    </w:p>
    <w:p>
      <w:pPr>
        <w:pStyle w:val="FirstParagraph"/>
      </w:pPr>
      <w:r>
        <w:t xml:space="preserve">You own G5a tax position. Your sign-off lives on: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IP Eligibility memo</w:t>
      </w:r>
      <w:r>
        <w:t xml:space="preserve"> </w:t>
      </w:r>
      <w:r>
        <w:t xml:space="preserve">(G5: Cyprus law acceptability of the IP qualifying as Cyprus IP Box asset)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IP Income Allocation memo</w:t>
      </w:r>
      <w:r>
        <w:t xml:space="preserve"> </w:t>
      </w:r>
      <w:r>
        <w:t xml:space="preserve">(G5: tax method acceptability — cost-plus, TNMM, CUP, residual)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DEMPE / Substance memo</w:t>
      </w:r>
      <w:r>
        <w:t xml:space="preserve"> </w:t>
      </w:r>
      <w:r>
        <w:t xml:space="preserve">(G5: Cyprus management-and-control test pass; nexus support)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Transfer Pricing memo</w:t>
      </w:r>
      <w:r>
        <w:t xml:space="preserve"> </w:t>
      </w:r>
      <w:r>
        <w:t xml:space="preserve">(G5: TP method acceptability + benchmarking range)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GAAR memo</w:t>
      </w:r>
      <w:r>
        <w:t xml:space="preserve"> </w:t>
      </w:r>
      <w:r>
        <w:t xml:space="preserve">(G5 joint with Interlegal partner: principal-purpose risk under Cyprus internal anti-abuse + ATAD)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Advance Tax Ruling application</w:t>
      </w:r>
      <w:r>
        <w:t xml:space="preserve"> </w:t>
      </w:r>
      <w:r>
        <w:t xml:space="preserve">(you own final + file with Cyprus Tax Department; Interlegal drafts first)</w:t>
      </w:r>
    </w:p>
    <w:p>
      <w:pPr>
        <w:pStyle w:val="FirstParagraph"/>
      </w:pPr>
      <w:r>
        <w:t xml:space="preserve">Read in detail: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decisions/004-substance-policy.md</w:t>
      </w:r>
      <w:r>
        <w:t xml:space="preserve"> </w:t>
      </w:r>
      <w:r>
        <w:t xml:space="preserve">— 9 HARD_BLOCKERS + 12 scored criteria + 4 bands; you are the final word on substance pass at G5</w:t>
      </w:r>
    </w:p>
    <w:p>
      <w:pPr>
        <w:pStyle w:val="Compact"/>
        <w:numPr>
          <w:ilvl w:val="0"/>
          <w:numId w:val="1021"/>
        </w:numPr>
      </w:pPr>
      <w:r>
        <w:rPr>
          <w:rStyle w:val="VerbatimChar"/>
        </w:rPr>
        <w:t xml:space="preserve">docs/synthetic/M-0042-metasaas/05-advance-tax-ruling-application.md</w:t>
      </w:r>
      <w:r>
        <w:t xml:space="preserve"> </w:t>
      </w:r>
      <w:r>
        <w:t xml:space="preserve">— typical ruling structure; comment on what you would change for Cyprus Tax Department style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decisions/010-judgement-memos.md</w:t>
      </w:r>
      <w:r>
        <w:t xml:space="preserve"> </w:t>
      </w:r>
      <w:r>
        <w:t xml:space="preserve">— 8-section canonical memo structure; ensure your sign-off slot is on every memo before any drafts land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docs/synthetic/M-0043-datalabs/06-transfer-pricing-risk-memo.md</w:t>
      </w:r>
      <w:r>
        <w:t xml:space="preserve"> </w:t>
      </w:r>
      <w:r>
        <w:t xml:space="preserve">(problem-state: HB-6 ACTIVE — review how G5 sign-off is blocked until remediation)</w:t>
      </w:r>
    </w:p>
    <w:bookmarkEnd w:id="16"/>
    <w:bookmarkStart w:id="17" w:name="corporate-services-csp"/>
    <w:p>
      <w:pPr>
        <w:pStyle w:val="Heading4"/>
      </w:pPr>
      <w:r>
        <w:t xml:space="preserve">§Corporate services (CSP)</w:t>
      </w:r>
    </w:p>
    <w:p>
      <w:pPr>
        <w:pStyle w:val="FirstParagraph"/>
      </w:pPr>
      <w:r>
        <w:t xml:space="preserve">You own end-to-end Cyprus statutory + operational presence. Your sign-off lives on: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Incorporation filing</w:t>
      </w:r>
      <w:r>
        <w:t xml:space="preserve"> </w:t>
      </w:r>
      <w:r>
        <w:t xml:space="preserve">(HE32 + memorandum + articles)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Registered office</w:t>
      </w:r>
      <w:r>
        <w:t xml:space="preserve"> </w:t>
      </w:r>
      <w:r>
        <w:t xml:space="preserve">(your address; you sign)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Cyprus-resident director appointment</w:t>
      </w:r>
      <w:r>
        <w:t xml:space="preserve"> </w:t>
      </w:r>
      <w:r>
        <w:t xml:space="preserve">(your director or partner-introduced; you sign)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Banking introduction</w:t>
      </w:r>
      <w:r>
        <w:t xml:space="preserve"> </w:t>
      </w:r>
      <w:r>
        <w:t xml:space="preserve">(you coordinate; success fee per ADR-006)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Board resolutions</w:t>
      </w:r>
      <w:r>
        <w:t xml:space="preserve"> </w:t>
      </w:r>
      <w:r>
        <w:t xml:space="preserve">(Interlegal drafts; Cyprus director executes; you attest)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HE forms / beneficial-ownership register</w:t>
      </w:r>
      <w:r>
        <w:t xml:space="preserve"> </w:t>
      </w:r>
      <w:r>
        <w:t xml:space="preserve">(you own end-to-end; statutory deadlines)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DAC6 / DAC7 reporting</w:t>
      </w:r>
      <w:r>
        <w:t xml:space="preserve"> </w:t>
      </w:r>
      <w:r>
        <w:t xml:space="preserve">(statutory; you own filing)</w:t>
      </w:r>
    </w:p>
    <w:p>
      <w:pPr>
        <w:pStyle w:val="FirstParagraph"/>
      </w:pPr>
      <w:r>
        <w:t xml:space="preserve">Read in detail: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docs/synthetic/M-0042-metasaas/09-cyprus-partner-sow.md</w:t>
      </w:r>
      <w:r>
        <w:t xml:space="preserve"> </w:t>
      </w:r>
      <w:r>
        <w:t xml:space="preserve">— see how SOW lays out your scope + fee schedule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docs/synthetic/M-0042-metasaas/10-board-resolution-ip-transfer.md</w:t>
      </w:r>
      <w:r>
        <w:t xml:space="preserve"> </w:t>
      </w:r>
      <w:r>
        <w:t xml:space="preserve">— typical IP-transfer resolution Interlegal drafts → you arrange Cyprus director to execute → you attest</w:t>
      </w:r>
    </w:p>
    <w:p>
      <w:pPr>
        <w:pStyle w:val="Compact"/>
        <w:numPr>
          <w:ilvl w:val="0"/>
          <w:numId w:val="1027"/>
        </w:numPr>
      </w:pPr>
      <w:r>
        <w:rPr>
          <w:rStyle w:val="VerbatimChar"/>
        </w:rPr>
        <w:t xml:space="preserve">docs/synthetic/M-0042-metasaas/12-substance-evidence-photo-log.md</w:t>
      </w:r>
      <w:r>
        <w:t xml:space="preserve"> </w:t>
      </w:r>
      <w:r>
        <w:t xml:space="preserve">— Evidence Calendar photo cadence (board minute photos + office walkthroughs + employee timesheets)</w:t>
      </w:r>
    </w:p>
    <w:p>
      <w:pPr>
        <w:pStyle w:val="Compact"/>
        <w:numPr>
          <w:ilvl w:val="0"/>
          <w:numId w:val="1028"/>
        </w:numPr>
      </w:pPr>
      <w:r>
        <w:rPr>
          <w:rStyle w:val="VerbatimChar"/>
        </w:rPr>
        <w:t xml:space="preserve">process/stages.md</w:t>
      </w:r>
      <w:r>
        <w:t xml:space="preserve"> </w:t>
      </w:r>
      <w:r>
        <w:t xml:space="preserve">— phases 3-4 are heavily your turf</w:t>
      </w:r>
    </w:p>
    <w:bookmarkEnd w:id="17"/>
    <w:bookmarkStart w:id="18" w:name="legal-bar-member-legal-sign-off"/>
    <w:p>
      <w:pPr>
        <w:pStyle w:val="Heading4"/>
      </w:pPr>
      <w:r>
        <w:t xml:space="preserve">§Legal (Bar member / legal sign-off)</w:t>
      </w:r>
    </w:p>
    <w:p>
      <w:pPr>
        <w:pStyle w:val="FirstParagraph"/>
      </w:pPr>
      <w:r>
        <w:t xml:space="preserve">You own legal sign-off + court representation. Your sign-off lives on: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Ruling submission to Cyprus Tax Department</w:t>
      </w:r>
      <w:r>
        <w:t xml:space="preserve"> </w:t>
      </w:r>
      <w:r>
        <w:t xml:space="preserve">(you submit; tax advisor finalises content)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Court appearance</w:t>
      </w:r>
      <w:r>
        <w:t xml:space="preserve"> </w:t>
      </w:r>
      <w:r>
        <w:t xml:space="preserve">(tax dispute, statutory hearing)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Legal opinion attestations</w:t>
      </w:r>
      <w:r>
        <w:t xml:space="preserve"> </w:t>
      </w:r>
      <w:r>
        <w:t xml:space="preserve">(where Cyprus law opinion required + needs Bar member signature)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GAAR memo</w:t>
      </w:r>
      <w:r>
        <w:t xml:space="preserve"> </w:t>
      </w:r>
      <w:r>
        <w:t xml:space="preserve">(legal-position concurrence with tax advisor + Interlegal partner)</w:t>
      </w:r>
    </w:p>
    <w:p>
      <w:pPr>
        <w:pStyle w:val="FirstParagraph"/>
      </w:pPr>
      <w:r>
        <w:t xml:space="preserve">Read in detail: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decisions/005-process-gates.md</w:t>
      </w:r>
      <w:r>
        <w:t xml:space="preserve"> </w:t>
      </w:r>
      <w:r>
        <w:t xml:space="preserve">— your G5a slot under Bar-licensed sign-off rows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decisions/009-language-and-filing-protocol.md</w:t>
      </w:r>
      <w:r>
        <w:t xml:space="preserve"> </w:t>
      </w:r>
      <w:r>
        <w:t xml:space="preserve">— Greek statutory translations only by you; you decide if a matter triggers Greek-required statutory translation</w:t>
      </w:r>
    </w:p>
    <w:p>
      <w:pPr>
        <w:pStyle w:val="Compact"/>
        <w:numPr>
          <w:ilvl w:val="0"/>
          <w:numId w:val="1032"/>
        </w:numPr>
      </w:pPr>
      <w:r>
        <w:rPr>
          <w:rStyle w:val="VerbatimChar"/>
        </w:rPr>
        <w:t xml:space="preserve">docs/synthetic/M-0042-metasaas/05-advance-tax-ruling-application.md</w:t>
      </w:r>
      <w:r>
        <w:t xml:space="preserve"> </w:t>
      </w:r>
      <w:r>
        <w:t xml:space="preserve">— your sign-block is the last one before submission</w:t>
      </w:r>
    </w:p>
    <w:bookmarkEnd w:id="18"/>
    <w:bookmarkEnd w:id="19"/>
    <w:bookmarkStart w:id="20" w:name="X5580a2b9c2174386f4a98c71c97b8be550b414d"/>
    <w:p>
      <w:pPr>
        <w:pStyle w:val="Heading3"/>
      </w:pPr>
      <w:r>
        <w:t xml:space="preserve">2.2 Problem-state matter — M-0043 DataLabs (≈ 1 hour, all roles)</w:t>
      </w:r>
    </w:p>
    <w:p>
      <w:pPr>
        <w:pStyle w:val="FirstParagraph"/>
      </w:pPr>
      <w:r>
        <w:t xml:space="preserve">Read in order:</w:t>
      </w:r>
    </w:p>
    <w:p>
      <w:pPr>
        <w:pStyle w:val="Compact"/>
        <w:numPr>
          <w:ilvl w:val="0"/>
          <w:numId w:val="1033"/>
        </w:numPr>
      </w:pPr>
      <w:r>
        <w:rPr>
          <w:rStyle w:val="VerbatimChar"/>
        </w:rPr>
        <w:t xml:space="preserve">docs/synthetic/M-0043-datalabs/01-engagement-letter.md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docs/synthetic/M-0043-datalabs/02-feasibility-opinion-S1.md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docs/synthetic/M-0043-datalabs/05-status-email-month-3-CRITICAL.md</w:t>
      </w:r>
      <w:r>
        <w:t xml:space="preserve"> </w:t>
      </w:r>
      <w:r>
        <w:t xml:space="preserve">— how Interlegal communicates a problem to client; note tone</w:t>
      </w:r>
    </w:p>
    <w:p>
      <w:pPr>
        <w:pStyle w:val="Compact"/>
        <w:numPr>
          <w:ilvl w:val="0"/>
          <w:numId w:val="1036"/>
        </w:numPr>
      </w:pPr>
      <w:r>
        <w:rPr>
          <w:rStyle w:val="VerbatimChar"/>
        </w:rPr>
        <w:t xml:space="preserve">docs/synthetic/M-0043-datalabs/06-transfer-pricing-risk-memo.md</w:t>
      </w:r>
      <w:r>
        <w:t xml:space="preserve"> </w:t>
      </w:r>
      <w:r>
        <w:t xml:space="preserve">— HB-6 hard-blocker ACTIVE; what does G5 say?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docs/synthetic/M-0043-datalabs/07-existing-company-diagnostic.md</w:t>
      </w:r>
      <w:r>
        <w:t xml:space="preserve"> </w:t>
      </w:r>
      <w:r>
        <w:t xml:space="preserve">— AMBER verdict + S0.5 remediation backlog (Track B problem-state)</w:t>
      </w:r>
    </w:p>
    <w:p>
      <w:pPr>
        <w:pStyle w:val="FirstParagraph"/>
      </w:pPr>
      <w:r>
        <w:t xml:space="preserve">For each: what would you have flagged earlier? What evidence handoff would have given you better signal? Write 3-5 bullet observations and bring them to the first joint cadence call.</w:t>
      </w:r>
    </w:p>
    <w:bookmarkEnd w:id="20"/>
    <w:bookmarkStart w:id="21" w:name="X7d01230de9657700a1654ce67fd69a1b33dba5a"/>
    <w:p>
      <w:pPr>
        <w:pStyle w:val="Heading3"/>
      </w:pPr>
      <w:r>
        <w:t xml:space="preserve">2.3 Joint cadence overview (≈ 45 min, with Interlegal Senior + PM)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process/joint-cadence.md</w:t>
      </w:r>
      <w:r>
        <w:t xml:space="preserve"> </w:t>
      </w:r>
      <w:r>
        <w:rPr>
          <w:b/>
          <w:bCs/>
        </w:rPr>
        <w:t xml:space="preserve">full</w:t>
      </w:r>
      <w:r>
        <w:t xml:space="preserve"> </w:t>
      </w:r>
      <w:r>
        <w:t xml:space="preserve">— read all sections; this is the rhythm you operate in</w:t>
      </w:r>
    </w:p>
    <w:p>
      <w:pPr>
        <w:pStyle w:val="Compact"/>
        <w:numPr>
          <w:ilvl w:val="0"/>
          <w:numId w:val="1039"/>
        </w:numPr>
      </w:pPr>
      <w:r>
        <w:t xml:space="preserve">Confirm calendar invites for: weekly G4/G5 calibration call (Tue 14:00 CY / 13:00 KV); monthly cross-firm calibration (last Wed of month); quarterly retrospective (last Fri of quarter); annual partner economics review</w:t>
      </w:r>
    </w:p>
    <w:p>
      <w:pPr>
        <w:pStyle w:val="Compact"/>
        <w:numPr>
          <w:ilvl w:val="0"/>
          <w:numId w:val="1040"/>
        </w:numPr>
      </w:pPr>
      <w:r>
        <w:t xml:space="preserve">Walk through the agenda template for each cadence type</w:t>
      </w:r>
    </w:p>
    <w:bookmarkEnd w:id="21"/>
    <w:bookmarkStart w:id="22" w:name="X0de024eb9d9d894ba507077169d0b84ebec1033"/>
    <w:p>
      <w:pPr>
        <w:pStyle w:val="Heading3"/>
      </w:pPr>
      <w:r>
        <w:t xml:space="preserve">2.4 G5 sign-off mechanics (≈ 1 hour, with Interlegal Senior)</w:t>
      </w:r>
    </w:p>
    <w:p>
      <w:pPr>
        <w:pStyle w:val="FirstParagraph"/>
      </w:pPr>
      <w:r>
        <w:t xml:space="preserve">For each gate you own: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Inbound:</w:t>
      </w:r>
      <w:r>
        <w:t xml:space="preserve"> </w:t>
      </w:r>
      <w:r>
        <w:t xml:space="preserve">what evidence pack reaches you, in what format, by what SLA?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Decision options:</w:t>
      </w:r>
      <w:r>
        <w:t xml:space="preserve"> </w:t>
      </w:r>
      <w:r>
        <w:t xml:space="preserve">SIGN / SIGN-WITH-CONDITIONS / DECLINE / ESCALATE-G6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Outbound:</w:t>
      </w:r>
      <w:r>
        <w:t xml:space="preserve"> </w:t>
      </w:r>
      <w:r>
        <w:t xml:space="preserve">how do you record the sign-off in the matter cockpit?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Audit trail:</w:t>
      </w:r>
      <w:r>
        <w:t xml:space="preserve"> </w:t>
      </w:r>
      <w:r>
        <w:t xml:space="preserve">where does your sign-off live for evidence-of-defence purposes (typical Cyprus Tax Department audit window 6 years post-filing)?</w:t>
      </w:r>
    </w:p>
    <w:p>
      <w:pPr>
        <w:pStyle w:val="FirstParagraph"/>
      </w:pPr>
      <w:r>
        <w:t xml:space="preserve">Practical walkthrough: take M-0042 stage 5.1 (ruling submitted) and trace G5 path step-by-step in the portal.</w:t>
      </w:r>
    </w:p>
    <w:bookmarkEnd w:id="22"/>
    <w:bookmarkStart w:id="23" w:name="calibration-test-90-min-end-of-day-2"/>
    <w:p>
      <w:pPr>
        <w:pStyle w:val="Heading3"/>
      </w:pPr>
      <w:r>
        <w:t xml:space="preserve">2.5 Calibration test (≈ 90 min, end of Day 2)</w:t>
      </w:r>
    </w:p>
    <w:p>
      <w:pPr>
        <w:pStyle w:val="FirstParagraph"/>
      </w:pPr>
      <w:r>
        <w:t xml:space="preserve">Interlegal Senior gives you 3 anonymised matter scenarios. For each:</w:t>
      </w:r>
    </w:p>
    <w:p>
      <w:pPr>
        <w:pStyle w:val="Compact"/>
        <w:numPr>
          <w:ilvl w:val="0"/>
          <w:numId w:val="1042"/>
        </w:numPr>
      </w:pPr>
      <w:r>
        <w:t xml:space="preserve">Identify which memos you would sign at G5 vs request revision vs escalate to G6</w:t>
      </w:r>
    </w:p>
    <w:p>
      <w:pPr>
        <w:pStyle w:val="Compact"/>
        <w:numPr>
          <w:ilvl w:val="0"/>
          <w:numId w:val="1042"/>
        </w:numPr>
      </w:pPr>
      <w:r>
        <w:t xml:space="preserve">Name 2-3 evidence gaps you would flag</w:t>
      </w:r>
    </w:p>
    <w:p>
      <w:pPr>
        <w:pStyle w:val="Compact"/>
        <w:numPr>
          <w:ilvl w:val="0"/>
          <w:numId w:val="1042"/>
        </w:numPr>
      </w:pPr>
      <w:r>
        <w:t xml:space="preserve">Estimate your turnaround time under current SLA</w:t>
      </w:r>
    </w:p>
    <w:p>
      <w:pPr>
        <w:pStyle w:val="FirstParagraph"/>
      </w:pPr>
      <w:r>
        <w:t xml:space="preserve">Pass criteria:</w:t>
      </w:r>
    </w:p>
    <w:p>
      <w:pPr>
        <w:pStyle w:val="Compact"/>
        <w:numPr>
          <w:ilvl w:val="0"/>
          <w:numId w:val="1043"/>
        </w:numPr>
      </w:pPr>
      <w:r>
        <w:t xml:space="preserve">Decisions consistent with ADR-005 G0-G6 + ADR-006 ownership matrix</w:t>
      </w:r>
    </w:p>
    <w:p>
      <w:pPr>
        <w:pStyle w:val="Compact"/>
        <w:numPr>
          <w:ilvl w:val="0"/>
          <w:numId w:val="1043"/>
        </w:numPr>
      </w:pPr>
      <w:r>
        <w:t xml:space="preserve">Evidence gaps reference real evidence types (substance pack / TP support / financial statement reconciliation / etc.)</w:t>
      </w:r>
    </w:p>
    <w:p>
      <w:pPr>
        <w:pStyle w:val="Compact"/>
        <w:numPr>
          <w:ilvl w:val="0"/>
          <w:numId w:val="1043"/>
        </w:numPr>
      </w:pPr>
      <w:r>
        <w:t xml:space="preserve">Turnaround estimates within ADR-006 SLA band (G5 standard: 5-10 working days; G5 urgent: 48h)</w:t>
      </w:r>
    </w:p>
    <w:p>
      <w:pPr>
        <w:pStyle w:val="FirstParagraph"/>
      </w:pPr>
      <w:r>
        <w:t xml:space="preserve">Interlegal Senior signs off → you are cleared to take real-matter G5 sign-offs (starting with the first joint-supervised matter; full autonomy after 2-3 closed matters).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after-trek-05-ongoing-learning"/>
    <w:p>
      <w:pPr>
        <w:pStyle w:val="Heading2"/>
      </w:pPr>
      <w:r>
        <w:t xml:space="preserve">After Trek 05 — ongoing learning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Event</w:t>
            </w:r>
          </w:p>
        </w:tc>
        <w:tc>
          <w:tcPr/>
          <w:p>
            <w:pPr>
              <w:pStyle w:val="Compact"/>
            </w:pPr>
            <w:r>
              <w:t xml:space="preserve">Cadence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Weekly G4/G5 calibration call</w:t>
            </w:r>
          </w:p>
        </w:tc>
        <w:tc>
          <w:tcPr/>
          <w:p>
            <w:pPr>
              <w:pStyle w:val="Compact"/>
            </w:pPr>
            <w:r>
              <w:t xml:space="preserve">Tue 14:00 CY</w:t>
            </w:r>
          </w:p>
        </w:tc>
        <w:tc>
          <w:tcPr/>
          <w:p>
            <w:pPr>
              <w:pStyle w:val="Compact"/>
            </w:pPr>
            <w:r>
              <w:t xml:space="preserve">Interlegal Senior + Cyprus tax advisor (other roles join as needed)</w:t>
            </w:r>
          </w:p>
        </w:tc>
        <w:tc>
          <w:tcPr/>
          <w:p>
            <w:pPr>
              <w:pStyle w:val="Compact"/>
            </w:pPr>
            <w:r>
              <w:t xml:space="preserve">Per-matter handoffs + open issues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cross-firm calibration</w:t>
            </w:r>
          </w:p>
        </w:tc>
        <w:tc>
          <w:tcPr/>
          <w:p>
            <w:pPr>
              <w:pStyle w:val="Compact"/>
            </w:pPr>
            <w:r>
              <w:t xml:space="preserve">Last Wed of month</w:t>
            </w:r>
          </w:p>
        </w:tc>
        <w:tc>
          <w:tcPr/>
          <w:p>
            <w:pPr>
              <w:pStyle w:val="Compact"/>
            </w:pPr>
            <w:r>
              <w:t xml:space="preserve">All Day-2 reads owners</w:t>
            </w:r>
          </w:p>
        </w:tc>
        <w:tc>
          <w:tcPr/>
          <w:p>
            <w:pPr>
              <w:pStyle w:val="Compact"/>
            </w:pPr>
            <w:r>
              <w:t xml:space="preserve">Past-matter findings + ADR drift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Quarterly retrospective</w:t>
            </w:r>
          </w:p>
        </w:tc>
        <w:tc>
          <w:tcPr/>
          <w:p>
            <w:pPr>
              <w:pStyle w:val="Compact"/>
            </w:pPr>
            <w:r>
              <w:t xml:space="preserve">Last Fri of quarter</w:t>
            </w:r>
          </w:p>
        </w:tc>
        <w:tc>
          <w:tcPr/>
          <w:p>
            <w:pPr>
              <w:pStyle w:val="Compact"/>
            </w:pPr>
            <w:r>
              <w:t xml:space="preserve">All Cyprus roles + Interlegal partner</w:t>
            </w:r>
          </w:p>
        </w:tc>
        <w:tc>
          <w:tcPr/>
          <w:p>
            <w:pPr>
              <w:pStyle w:val="Compact"/>
            </w:pPr>
            <w:r>
              <w:t xml:space="preserve">What’s working / not / partner economics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 partner economics review</w:t>
            </w:r>
          </w:p>
        </w:tc>
        <w:tc>
          <w:tcPr/>
          <w:p>
            <w:pPr>
              <w:pStyle w:val="Compact"/>
            </w:pPr>
            <w:r>
              <w:t xml:space="preserve">January</w:t>
            </w:r>
          </w:p>
        </w:tc>
        <w:tc>
          <w:tcPr/>
          <w:p>
            <w:pPr>
              <w:pStyle w:val="Compact"/>
            </w:pPr>
            <w:r>
              <w:t xml:space="preserve">Interlegal partner + Cyprus senior partner</w:t>
            </w:r>
          </w:p>
        </w:tc>
        <w:tc>
          <w:tcPr/>
          <w:p>
            <w:pPr>
              <w:pStyle w:val="Compact"/>
            </w:pPr>
            <w:r>
              <w:t xml:space="preserve">Fee bands + scope + renewal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 Assumptions Register quarterly review</w:t>
            </w:r>
          </w:p>
        </w:tc>
        <w:tc>
          <w:tcPr/>
          <w:p>
            <w:pPr>
              <w:pStyle w:val="Compact"/>
            </w:pPr>
            <w:r>
              <w:t xml:space="preserve">Quarter-end</w:t>
            </w:r>
          </w:p>
        </w:tc>
        <w:tc>
          <w:tcPr/>
          <w:p>
            <w:pPr>
              <w:pStyle w:val="Compact"/>
            </w:pPr>
            <w:r>
              <w:t xml:space="preserve">Tax advisor + ICPAC auditor + Interlegal Senior</w:t>
            </w:r>
          </w:p>
        </w:tc>
        <w:tc>
          <w:tcPr/>
          <w:p>
            <w:pPr>
              <w:pStyle w:val="Compact"/>
            </w:pPr>
            <w:r>
              <w:t xml:space="preserve">Update</w:t>
            </w:r>
            <w:r>
              <w:t xml:space="preserve"> </w:t>
            </w:r>
            <w:r>
              <w:rPr>
                <w:rStyle w:val="VerbatimChar"/>
              </w:rPr>
              <w:t xml:space="preserve">glossary/tax-assumptions.md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External G6 triggered second-review</w:t>
            </w:r>
          </w:p>
        </w:tc>
        <w:tc>
          <w:tcPr/>
          <w:p>
            <w:pPr>
              <w:pStyle w:val="Compact"/>
            </w:pPr>
            <w:r>
              <w:t xml:space="preserve">Per-matter trigger</w:t>
            </w:r>
          </w:p>
        </w:tc>
        <w:tc>
          <w:tcPr/>
          <w:p>
            <w:pPr>
              <w:pStyle w:val="Compact"/>
            </w:pPr>
            <w:r>
              <w:t xml:space="preserve">Interlegal partner coordinates</w:t>
            </w:r>
          </w:p>
        </w:tc>
        <w:tc>
          <w:tcPr/>
          <w:p>
            <w:pPr>
              <w:pStyle w:val="Compact"/>
            </w:pPr>
            <w:r>
              <w:t xml:space="preserve">High-value / high-risk matters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8" w:name="resources"/>
    <w:p>
      <w:pPr>
        <w:pStyle w:val="Heading2"/>
      </w:pPr>
      <w:r>
        <w:t xml:space="preserve">Resources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Portal:</w:t>
      </w:r>
      <w:r>
        <w:t xml:space="preserve"> </w:t>
      </w:r>
      <w:hyperlink r:id="rId26">
        <w:r>
          <w:rPr>
            <w:rStyle w:val="Hyperlink"/>
          </w:rPr>
          <w:t xml:space="preserve">https://interlegal-ipbox.pages.dev</w:t>
        </w:r>
      </w:hyperlink>
      <w:r>
        <w:t xml:space="preserve"> </w:t>
      </w:r>
      <w:r>
        <w:t xml:space="preserve">(no auth in Sprint 1.6; CF Access binding Sprint 4)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API:</w:t>
      </w:r>
      <w:r>
        <w:t xml:space="preserve"> </w:t>
      </w:r>
      <w:hyperlink r:id="rId27">
        <w:r>
          <w:rPr>
            <w:rStyle w:val="Hyperlink"/>
          </w:rPr>
          <w:t xml:space="preserve">https://interlegal-ipbox-api.artem-skorobogatov.workers.dev/api/health</w:t>
        </w:r>
      </w:hyperlink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Engine version:</w:t>
      </w:r>
      <w:r>
        <w:t xml:space="preserve"> </w:t>
      </w:r>
      <w:r>
        <w:t xml:space="preserve">1.1.0 (89/89 pytest passing)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ADRs:</w:t>
      </w:r>
      <w:r>
        <w:t xml:space="preserve"> </w:t>
      </w:r>
      <w:r>
        <w:rPr>
          <w:rStyle w:val="VerbatimChar"/>
        </w:rPr>
        <w:t xml:space="preserve">decisions/001</w:t>
      </w:r>
      <w:r>
        <w:t xml:space="preserve"> </w:t>
      </w:r>
      <w:r>
        <w:t xml:space="preserve">through</w:t>
      </w:r>
      <w:r>
        <w:t xml:space="preserve"> </w:t>
      </w:r>
      <w:r>
        <w:rPr>
          <w:rStyle w:val="VerbatimChar"/>
        </w:rPr>
        <w:t xml:space="preserve">decisions/010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Cyprus partner SOW</w:t>
      </w:r>
      <w:r>
        <w:t xml:space="preserve"> </w:t>
      </w:r>
      <w:r>
        <w:t xml:space="preserve">— separate document; you receive on engagement signing</w:t>
      </w:r>
    </w:p>
    <w:p>
      <w:r>
        <w:pict>
          <v:rect style="width:0;height:1.5pt" o:hralign="center" o:hrstd="t" o:hr="t"/>
        </w:pict>
      </w:r>
    </w:p>
    <w:bookmarkEnd w:id="28"/>
    <w:bookmarkStart w:id="29" w:name="when-to-ask-interlegal"/>
    <w:p>
      <w:pPr>
        <w:pStyle w:val="Heading2"/>
      </w:pPr>
      <w:r>
        <w:t xml:space="preserve">When to ask Interlegal</w:t>
      </w:r>
    </w:p>
    <w:p>
      <w:pPr>
        <w:pStyle w:val="Compact"/>
        <w:numPr>
          <w:ilvl w:val="0"/>
          <w:numId w:val="1045"/>
        </w:numPr>
      </w:pPr>
      <w:r>
        <w:t xml:space="preserve">Stuck on portal navigation — Interlegal PM Slack (your dedicated channel)</w:t>
      </w:r>
    </w:p>
    <w:p>
      <w:pPr>
        <w:pStyle w:val="Compact"/>
        <w:numPr>
          <w:ilvl w:val="0"/>
          <w:numId w:val="1045"/>
        </w:numPr>
      </w:pPr>
      <w:r>
        <w:t xml:space="preserve">Ambiguous evidence pack — Interlegal Senior 1:1 (15 min)</w:t>
      </w:r>
    </w:p>
    <w:p>
      <w:pPr>
        <w:pStyle w:val="Compact"/>
        <w:numPr>
          <w:ilvl w:val="0"/>
          <w:numId w:val="1045"/>
        </w:numPr>
      </w:pPr>
      <w:r>
        <w:t xml:space="preserve">ADR interpretation disagreement — flag at next joint cadence; do NOT silently sign-with-different-interpretation</w:t>
      </w:r>
    </w:p>
    <w:p>
      <w:pPr>
        <w:pStyle w:val="Compact"/>
        <w:numPr>
          <w:ilvl w:val="0"/>
          <w:numId w:val="1045"/>
        </w:numPr>
      </w:pPr>
      <w:r>
        <w:t xml:space="preserve">Suspect engine bug (numeric output looks wrong) — Interlegal PM + engine maintainer; pause sign-off until resolved</w:t>
      </w:r>
    </w:p>
    <w:p>
      <w:pPr>
        <w:pStyle w:val="Compact"/>
        <w:numPr>
          <w:ilvl w:val="0"/>
          <w:numId w:val="1045"/>
        </w:numPr>
      </w:pPr>
      <w:r>
        <w:t xml:space="preserve">Conflict-of-interest concern — escalate immediately to Interlegal partner + your firm’s compliance officer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r>
        <w:t xml:space="preserve">weekly joint cadence call (see</w:t>
      </w:r>
      <w:r>
        <w:t xml:space="preserve"> </w:t>
      </w:r>
      <w:r>
        <w:rPr>
          <w:rStyle w:val="VerbatimChar"/>
        </w:rPr>
        <w:t xml:space="preserve">process/joint-cadence.md</w:t>
      </w:r>
      <w:r>
        <w:t xml:space="preserve">). First real-matter G5 sign-off under joint supervision.</w:t>
      </w:r>
    </w:p>
    <w:p>
      <w:pPr>
        <w:pStyle w:val="BodyText"/>
      </w:pPr>
      <w:r>
        <w:rPr>
          <w:b/>
          <w:bCs/>
        </w:rPr>
        <w:t xml:space="preserve">Related:</w:t>
      </w:r>
      <w:r>
        <w:t xml:space="preserve"> </w:t>
      </w:r>
      <w:r>
        <w:t xml:space="preserve">[[learn-junior]], [[learn-senior]], [[learn-pm]], [[learn-partner]] (Interlegal-side tracks 01-04), [[partner-onboarding]] (Trek 06 — partner-principal-level onboarding for the MSA signatory; your firm’s partner principal completes this in parallel), [[process-joint-cadence]] (joint rhythm), [[process/partner-demo]] (the pre-MSA demo your principal saw before signing), [[decisions-006-cyprus-contractor-strategy]] (ownership), [[decisions-005-process-gates]] (G0-G6).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1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1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1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1"/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  <w:num w:numId="104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7" Target="https://interlegal-ipbox-api.artem-skorobogatov.workers.dev/api/health" TargetMode="External" /><Relationship Type="http://schemas.openxmlformats.org/officeDocument/2006/relationships/hyperlink" Id="rId26" Target="https://interlegal-ipbox.pages.de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interlegal-ipbox-api.artem-skorobogatov.workers.dev/api/health" TargetMode="External" /><Relationship Type="http://schemas.openxmlformats.org/officeDocument/2006/relationships/hyperlink" Id="rId26" Target="https://interlegal-ipbox.pages.de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2026-05-17T19:33:09Z</dcterms:created>
  <dcterms:modified xsi:type="dcterms:W3CDTF">2026-05-17T19:33:09Z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